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C74" w:rsidRPr="00A030F3" w:rsidRDefault="009822C9" w:rsidP="00E0538B">
      <w:pPr>
        <w:framePr w:w="7805" w:h="898" w:hSpace="180" w:wrap="around" w:vAnchor="text" w:hAnchor="page" w:x="3190" w:y="-359"/>
        <w:autoSpaceDE w:val="0"/>
        <w:autoSpaceDN w:val="0"/>
        <w:adjustRightInd w:val="0"/>
        <w:ind w:left="0" w:right="-902"/>
        <w:contextualSpacing/>
        <w:rPr>
          <w:b/>
          <w:bCs/>
          <w:caps/>
          <w:color w:val="000000"/>
          <w:sz w:val="30"/>
          <w:szCs w:val="30"/>
          <w:lang w:val="en-GB"/>
        </w:rPr>
      </w:pPr>
      <w:r w:rsidRPr="00A030F3">
        <w:rPr>
          <w:b/>
          <w:bCs/>
          <w:caps/>
          <w:color w:val="000000"/>
          <w:sz w:val="30"/>
          <w:szCs w:val="30"/>
          <w:lang w:val="en-GB"/>
        </w:rPr>
        <w:t>Project Identification Form</w:t>
      </w:r>
      <w:r w:rsidR="009D3C35" w:rsidRPr="00A030F3">
        <w:rPr>
          <w:b/>
          <w:bCs/>
          <w:caps/>
          <w:color w:val="000000"/>
          <w:sz w:val="30"/>
          <w:szCs w:val="30"/>
          <w:lang w:val="en-GB"/>
        </w:rPr>
        <w:t xml:space="preserve"> (PIF)</w:t>
      </w:r>
    </w:p>
    <w:p w:rsidR="009822C9" w:rsidRPr="00A030F3" w:rsidRDefault="00FF3B3C" w:rsidP="00E0538B">
      <w:pPr>
        <w:framePr w:w="7805" w:h="898" w:hSpace="180" w:wrap="around" w:vAnchor="text" w:hAnchor="page" w:x="3190" w:y="-359"/>
        <w:autoSpaceDE w:val="0"/>
        <w:autoSpaceDN w:val="0"/>
        <w:adjustRightInd w:val="0"/>
        <w:ind w:left="0"/>
        <w:contextualSpacing/>
        <w:rPr>
          <w:bCs/>
          <w:color w:val="000000"/>
          <w:sz w:val="22"/>
          <w:szCs w:val="22"/>
          <w:lang w:val="en-GB"/>
        </w:rPr>
      </w:pPr>
      <w:bookmarkStart w:id="0" w:name="Dropdown7"/>
      <w:r w:rsidRPr="00A030F3">
        <w:rPr>
          <w:b/>
          <w:bCs/>
          <w:smallCaps/>
          <w:color w:val="000000"/>
          <w:sz w:val="22"/>
          <w:szCs w:val="22"/>
          <w:lang w:val="en-GB"/>
        </w:rPr>
        <w:t xml:space="preserve">Project Type: </w:t>
      </w:r>
      <w:bookmarkStart w:id="1" w:name="projectType"/>
      <w:bookmarkEnd w:id="0"/>
      <w:r w:rsidR="00740BE6" w:rsidRPr="00A030F3">
        <w:rPr>
          <w:b/>
          <w:bCs/>
          <w:smallCaps/>
          <w:color w:val="000000"/>
          <w:sz w:val="22"/>
          <w:szCs w:val="22"/>
          <w:lang w:val="en-GB"/>
        </w:rPr>
        <w:t>FSP</w:t>
      </w:r>
      <w:bookmarkEnd w:id="1"/>
    </w:p>
    <w:p w:rsidR="00FD42D8" w:rsidRPr="00A030F3" w:rsidRDefault="00FD42D8" w:rsidP="00E0538B">
      <w:pPr>
        <w:framePr w:w="7805" w:h="898" w:hSpace="180" w:wrap="around" w:vAnchor="text" w:hAnchor="page" w:x="3190" w:y="-359"/>
        <w:autoSpaceDE w:val="0"/>
        <w:autoSpaceDN w:val="0"/>
        <w:adjustRightInd w:val="0"/>
        <w:ind w:left="0"/>
        <w:contextualSpacing/>
        <w:rPr>
          <w:b/>
          <w:bCs/>
          <w:sz w:val="22"/>
          <w:szCs w:val="22"/>
          <w:lang w:val="en-GB"/>
        </w:rPr>
      </w:pPr>
      <w:r w:rsidRPr="00A030F3">
        <w:rPr>
          <w:b/>
          <w:bCs/>
          <w:smallCaps/>
          <w:sz w:val="22"/>
          <w:szCs w:val="22"/>
          <w:lang w:val="en-GB"/>
        </w:rPr>
        <w:t>Type of Trust Fund:</w:t>
      </w:r>
      <w:bookmarkStart w:id="2" w:name="TFType"/>
      <w:bookmarkEnd w:id="2"/>
      <w:r w:rsidR="007001E6" w:rsidRPr="00A030F3">
        <w:rPr>
          <w:b/>
          <w:bCs/>
          <w:smallCaps/>
          <w:sz w:val="22"/>
          <w:szCs w:val="22"/>
          <w:lang w:val="en-GB"/>
        </w:rPr>
        <w:t xml:space="preserve"> </w:t>
      </w:r>
      <w:r w:rsidR="00740BE6" w:rsidRPr="00A030F3">
        <w:rPr>
          <w:b/>
          <w:bCs/>
          <w:smallCaps/>
          <w:sz w:val="22"/>
          <w:szCs w:val="22"/>
          <w:lang w:val="en-GB"/>
        </w:rPr>
        <w:t xml:space="preserve">GEF TF </w:t>
      </w:r>
    </w:p>
    <w:p w:rsidR="005E0463" w:rsidRPr="00A030F3" w:rsidRDefault="004525CE" w:rsidP="00D1574B">
      <w:pPr>
        <w:pStyle w:val="Footer"/>
        <w:tabs>
          <w:tab w:val="clear" w:pos="4320"/>
          <w:tab w:val="clear" w:pos="8640"/>
        </w:tabs>
        <w:contextualSpacing/>
        <w:rPr>
          <w:noProof/>
          <w:sz w:val="20"/>
          <w:szCs w:val="20"/>
          <w:lang w:val="en-GB"/>
        </w:rPr>
      </w:pPr>
      <w:r w:rsidRPr="00A030F3">
        <w:rPr>
          <w:noProof/>
          <w:sz w:val="20"/>
          <w:szCs w:val="20"/>
          <w:lang w:val="fr-FR" w:eastAsia="fr-FR"/>
        </w:rPr>
        <w:drawing>
          <wp:anchor distT="0" distB="0" distL="114300" distR="114300" simplePos="0" relativeHeight="251657728" behindDoc="0" locked="0" layoutInCell="1" allowOverlap="1">
            <wp:simplePos x="0" y="0"/>
            <wp:positionH relativeFrom="column">
              <wp:posOffset>73025</wp:posOffset>
            </wp:positionH>
            <wp:positionV relativeFrom="paragraph">
              <wp:posOffset>-332105</wp:posOffset>
            </wp:positionV>
            <wp:extent cx="713740" cy="741680"/>
            <wp:effectExtent l="19050" t="0" r="0" b="0"/>
            <wp:wrapSquare wrapText="bothSides"/>
            <wp:docPr id="2" name="Picture 1" descr="M:\Communications_GEFEXT\Logos\GEF-newlogo-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munications_GEFEXT\Logos\GEF-newlogo-short.jpg"/>
                    <pic:cNvPicPr>
                      <a:picLocks noChangeAspect="1" noChangeArrowheads="1"/>
                    </pic:cNvPicPr>
                  </pic:nvPicPr>
                  <pic:blipFill>
                    <a:blip r:embed="rId8" cstate="print"/>
                    <a:srcRect/>
                    <a:stretch>
                      <a:fillRect/>
                    </a:stretch>
                  </pic:blipFill>
                  <pic:spPr bwMode="auto">
                    <a:xfrm>
                      <a:off x="0" y="0"/>
                      <a:ext cx="713740" cy="741680"/>
                    </a:xfrm>
                    <a:prstGeom prst="rect">
                      <a:avLst/>
                    </a:prstGeom>
                    <a:noFill/>
                    <a:ln w="9525">
                      <a:noFill/>
                      <a:miter lim="800000"/>
                      <a:headEnd/>
                      <a:tailEnd/>
                    </a:ln>
                  </pic:spPr>
                </pic:pic>
              </a:graphicData>
            </a:graphic>
          </wp:anchor>
        </w:drawing>
      </w:r>
    </w:p>
    <w:p w:rsidR="005E0463" w:rsidRPr="00A030F3" w:rsidRDefault="005E0463" w:rsidP="00D1574B">
      <w:pPr>
        <w:pStyle w:val="Footer"/>
        <w:tabs>
          <w:tab w:val="clear" w:pos="4320"/>
          <w:tab w:val="clear" w:pos="8640"/>
        </w:tabs>
        <w:contextualSpacing/>
        <w:rPr>
          <w:noProof/>
          <w:sz w:val="20"/>
          <w:szCs w:val="20"/>
          <w:lang w:val="en-GB"/>
        </w:rPr>
      </w:pPr>
    </w:p>
    <w:p w:rsidR="007D2C99" w:rsidRPr="00A030F3" w:rsidRDefault="007D2C99" w:rsidP="00D1574B">
      <w:pPr>
        <w:pStyle w:val="Footer"/>
        <w:tabs>
          <w:tab w:val="clear" w:pos="4320"/>
          <w:tab w:val="clear" w:pos="8640"/>
        </w:tabs>
        <w:contextualSpacing/>
        <w:rPr>
          <w:b/>
          <w:caps/>
          <w:sz w:val="22"/>
          <w:szCs w:val="22"/>
          <w:u w:val="single"/>
          <w:lang w:val="en-GB"/>
        </w:rPr>
      </w:pPr>
    </w:p>
    <w:p w:rsidR="00E503D2" w:rsidRDefault="00E503D2" w:rsidP="00D43F7C">
      <w:pPr>
        <w:ind w:left="0"/>
        <w:contextualSpacing/>
        <w:rPr>
          <w:b/>
          <w:caps/>
          <w:color w:val="00B0F0"/>
          <w:sz w:val="22"/>
          <w:szCs w:val="22"/>
          <w:u w:val="single"/>
          <w:lang w:val="en-GB"/>
        </w:rPr>
      </w:pPr>
    </w:p>
    <w:p w:rsidR="00AD7439" w:rsidRPr="00A030F3" w:rsidRDefault="000B13C8" w:rsidP="00D43F7C">
      <w:pPr>
        <w:ind w:left="0"/>
        <w:contextualSpacing/>
        <w:rPr>
          <w:b/>
          <w:caps/>
          <w:color w:val="00B0F0"/>
          <w:sz w:val="22"/>
          <w:szCs w:val="22"/>
          <w:u w:val="single"/>
          <w:lang w:val="en-GB"/>
        </w:rPr>
      </w:pPr>
      <w:r w:rsidRPr="00A030F3">
        <w:rPr>
          <w:b/>
          <w:caps/>
          <w:color w:val="00B0F0"/>
          <w:sz w:val="22"/>
          <w:szCs w:val="22"/>
          <w:u w:val="single"/>
          <w:lang w:val="en-GB"/>
        </w:rPr>
        <w:t>PART I: Project I</w:t>
      </w:r>
      <w:r w:rsidR="00616D13" w:rsidRPr="00A030F3">
        <w:rPr>
          <w:b/>
          <w:caps/>
          <w:color w:val="00B0F0"/>
          <w:sz w:val="22"/>
          <w:szCs w:val="22"/>
          <w:u w:val="single"/>
          <w:lang w:val="en-GB"/>
        </w:rPr>
        <w:t>nformation</w:t>
      </w:r>
    </w:p>
    <w:p w:rsidR="00A806C9" w:rsidRPr="00A030F3" w:rsidRDefault="00A806C9" w:rsidP="00A806C9">
      <w:pPr>
        <w:pStyle w:val="Footer"/>
        <w:tabs>
          <w:tab w:val="clear" w:pos="4320"/>
          <w:tab w:val="clear" w:pos="8640"/>
        </w:tabs>
        <w:ind w:left="0"/>
        <w:contextualSpacing/>
        <w:outlineLvl w:val="0"/>
        <w:rPr>
          <w:b/>
          <w:caps/>
          <w:sz w:val="22"/>
          <w:szCs w:val="22"/>
          <w:u w:val="single"/>
          <w:lang w:val="en-GB"/>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5385"/>
        <w:gridCol w:w="1985"/>
        <w:gridCol w:w="1423"/>
      </w:tblGrid>
      <w:tr w:rsidR="0093482C" w:rsidRPr="00E908DD" w:rsidTr="00E908DD">
        <w:tc>
          <w:tcPr>
            <w:tcW w:w="1026" w:type="pct"/>
          </w:tcPr>
          <w:p w:rsidR="0093482C" w:rsidRPr="00E908DD" w:rsidRDefault="0093482C" w:rsidP="00A3719A">
            <w:pPr>
              <w:ind w:left="0"/>
              <w:contextualSpacing/>
              <w:rPr>
                <w:b/>
                <w:sz w:val="20"/>
                <w:szCs w:val="20"/>
                <w:lang w:val="en-GB"/>
              </w:rPr>
            </w:pPr>
            <w:r w:rsidRPr="00E908DD">
              <w:rPr>
                <w:b/>
                <w:sz w:val="20"/>
                <w:szCs w:val="20"/>
                <w:lang w:val="en-GB"/>
              </w:rPr>
              <w:t>Project Title:</w:t>
            </w:r>
          </w:p>
        </w:tc>
        <w:tc>
          <w:tcPr>
            <w:tcW w:w="3974" w:type="pct"/>
            <w:gridSpan w:val="3"/>
          </w:tcPr>
          <w:p w:rsidR="0093482C" w:rsidRPr="00E908DD" w:rsidRDefault="0041248D" w:rsidP="006246E1">
            <w:pPr>
              <w:ind w:left="0"/>
              <w:contextualSpacing/>
              <w:rPr>
                <w:sz w:val="20"/>
                <w:szCs w:val="20"/>
                <w:lang w:val="en-GB"/>
              </w:rPr>
            </w:pPr>
            <w:r w:rsidRPr="00E908DD">
              <w:rPr>
                <w:sz w:val="20"/>
                <w:szCs w:val="20"/>
                <w:lang w:val="en-GB"/>
              </w:rPr>
              <w:t xml:space="preserve">Strengthening </w:t>
            </w:r>
            <w:r w:rsidR="006246E1" w:rsidRPr="00E908DD">
              <w:rPr>
                <w:sz w:val="20"/>
                <w:szCs w:val="20"/>
                <w:lang w:val="en-GB"/>
              </w:rPr>
              <w:t xml:space="preserve">the </w:t>
            </w:r>
            <w:r w:rsidRPr="00E908DD">
              <w:rPr>
                <w:sz w:val="20"/>
                <w:szCs w:val="20"/>
                <w:lang w:val="en-GB"/>
              </w:rPr>
              <w:t xml:space="preserve">financial </w:t>
            </w:r>
            <w:r w:rsidR="006246E1" w:rsidRPr="00E908DD">
              <w:rPr>
                <w:sz w:val="20"/>
                <w:szCs w:val="20"/>
                <w:lang w:val="en-GB"/>
              </w:rPr>
              <w:t xml:space="preserve">and operational framework </w:t>
            </w:r>
            <w:r w:rsidRPr="00E908DD">
              <w:rPr>
                <w:sz w:val="20"/>
                <w:szCs w:val="20"/>
                <w:lang w:val="en-GB"/>
              </w:rPr>
              <w:t xml:space="preserve">of the national PA system in </w:t>
            </w:r>
            <w:r w:rsidR="00F71D3E" w:rsidRPr="00E908DD">
              <w:rPr>
                <w:sz w:val="20"/>
                <w:szCs w:val="20"/>
                <w:lang w:val="en-GB"/>
              </w:rPr>
              <w:t>Guinea-Bissau</w:t>
            </w:r>
          </w:p>
        </w:tc>
      </w:tr>
      <w:tr w:rsidR="00E908DD" w:rsidRPr="00E908DD" w:rsidTr="001072F7">
        <w:tc>
          <w:tcPr>
            <w:tcW w:w="1026" w:type="pct"/>
          </w:tcPr>
          <w:p w:rsidR="0093482C" w:rsidRPr="00E908DD" w:rsidRDefault="00A5268C" w:rsidP="00A3719A">
            <w:pPr>
              <w:ind w:left="0"/>
              <w:contextualSpacing/>
              <w:rPr>
                <w:sz w:val="20"/>
                <w:szCs w:val="20"/>
                <w:lang w:val="en-GB"/>
              </w:rPr>
            </w:pPr>
            <w:r w:rsidRPr="00E908DD">
              <w:rPr>
                <w:sz w:val="20"/>
                <w:szCs w:val="20"/>
                <w:lang w:val="en-GB"/>
              </w:rPr>
              <w:t>Country</w:t>
            </w:r>
            <w:r w:rsidR="0093482C" w:rsidRPr="00E908DD">
              <w:rPr>
                <w:sz w:val="20"/>
                <w:szCs w:val="20"/>
                <w:lang w:val="en-GB"/>
              </w:rPr>
              <w:t>:</w:t>
            </w:r>
          </w:p>
        </w:tc>
        <w:tc>
          <w:tcPr>
            <w:tcW w:w="2434" w:type="pct"/>
          </w:tcPr>
          <w:p w:rsidR="0093482C" w:rsidRPr="00E908DD" w:rsidRDefault="00F71D3E" w:rsidP="00A3719A">
            <w:pPr>
              <w:ind w:left="0"/>
              <w:contextualSpacing/>
              <w:rPr>
                <w:sz w:val="20"/>
                <w:szCs w:val="20"/>
                <w:lang w:val="en-GB"/>
              </w:rPr>
            </w:pPr>
            <w:r w:rsidRPr="00E908DD">
              <w:rPr>
                <w:sz w:val="20"/>
                <w:szCs w:val="20"/>
                <w:lang w:val="en-GB"/>
              </w:rPr>
              <w:t>Guinea-Bissau</w:t>
            </w:r>
          </w:p>
        </w:tc>
        <w:tc>
          <w:tcPr>
            <w:tcW w:w="897" w:type="pct"/>
          </w:tcPr>
          <w:p w:rsidR="0093482C" w:rsidRPr="00E908DD" w:rsidRDefault="0093482C" w:rsidP="00CE04DA">
            <w:pPr>
              <w:ind w:left="0"/>
              <w:contextualSpacing/>
              <w:rPr>
                <w:sz w:val="20"/>
                <w:szCs w:val="20"/>
                <w:lang w:val="en-GB"/>
              </w:rPr>
            </w:pPr>
            <w:r w:rsidRPr="00E908DD">
              <w:rPr>
                <w:sz w:val="20"/>
                <w:szCs w:val="20"/>
                <w:lang w:val="en-GB"/>
              </w:rPr>
              <w:t>GEF Project ID:</w:t>
            </w:r>
          </w:p>
        </w:tc>
        <w:tc>
          <w:tcPr>
            <w:tcW w:w="643" w:type="pct"/>
            <w:shd w:val="clear" w:color="auto" w:fill="auto"/>
          </w:tcPr>
          <w:p w:rsidR="0093482C" w:rsidRPr="00E908DD" w:rsidRDefault="005003B3" w:rsidP="0044759C">
            <w:pPr>
              <w:ind w:left="0"/>
              <w:contextualSpacing/>
              <w:jc w:val="center"/>
              <w:rPr>
                <w:sz w:val="20"/>
                <w:szCs w:val="20"/>
                <w:highlight w:val="yellow"/>
                <w:lang w:val="en-GB"/>
              </w:rPr>
            </w:pPr>
            <w:r w:rsidRPr="006F0F22">
              <w:rPr>
                <w:sz w:val="20"/>
                <w:szCs w:val="20"/>
                <w:lang w:val="en-GB"/>
              </w:rPr>
              <w:t>5368</w:t>
            </w:r>
          </w:p>
        </w:tc>
      </w:tr>
      <w:tr w:rsidR="00E908DD" w:rsidRPr="00E908DD" w:rsidTr="001072F7">
        <w:tc>
          <w:tcPr>
            <w:tcW w:w="1026" w:type="pct"/>
          </w:tcPr>
          <w:p w:rsidR="0093482C" w:rsidRPr="00E908DD" w:rsidRDefault="00A5268C" w:rsidP="00A3719A">
            <w:pPr>
              <w:ind w:left="0"/>
              <w:contextualSpacing/>
              <w:rPr>
                <w:sz w:val="20"/>
                <w:szCs w:val="20"/>
                <w:lang w:val="en-GB"/>
              </w:rPr>
            </w:pPr>
            <w:r w:rsidRPr="00E908DD">
              <w:rPr>
                <w:sz w:val="20"/>
                <w:szCs w:val="20"/>
                <w:lang w:val="en-GB"/>
              </w:rPr>
              <w:t>GEF Agency</w:t>
            </w:r>
            <w:r w:rsidR="0093482C" w:rsidRPr="00E908DD">
              <w:rPr>
                <w:sz w:val="20"/>
                <w:szCs w:val="20"/>
                <w:lang w:val="en-GB"/>
              </w:rPr>
              <w:t>:</w:t>
            </w:r>
          </w:p>
        </w:tc>
        <w:tc>
          <w:tcPr>
            <w:tcW w:w="2434" w:type="pct"/>
          </w:tcPr>
          <w:p w:rsidR="0093482C" w:rsidRPr="00E908DD" w:rsidRDefault="0093482C" w:rsidP="00A3719A">
            <w:pPr>
              <w:ind w:left="0"/>
              <w:contextualSpacing/>
              <w:rPr>
                <w:sz w:val="20"/>
                <w:szCs w:val="20"/>
                <w:lang w:val="en-GB"/>
              </w:rPr>
            </w:pPr>
            <w:r w:rsidRPr="00E908DD">
              <w:rPr>
                <w:sz w:val="20"/>
                <w:szCs w:val="20"/>
                <w:lang w:val="en-GB"/>
              </w:rPr>
              <w:t>UNDP</w:t>
            </w:r>
          </w:p>
        </w:tc>
        <w:tc>
          <w:tcPr>
            <w:tcW w:w="897" w:type="pct"/>
          </w:tcPr>
          <w:p w:rsidR="0093482C" w:rsidRPr="00E908DD" w:rsidRDefault="0093482C" w:rsidP="00A3719A">
            <w:pPr>
              <w:ind w:left="0"/>
              <w:contextualSpacing/>
              <w:rPr>
                <w:sz w:val="20"/>
                <w:szCs w:val="20"/>
                <w:lang w:val="en-GB"/>
              </w:rPr>
            </w:pPr>
            <w:r w:rsidRPr="00E908DD">
              <w:rPr>
                <w:sz w:val="20"/>
                <w:szCs w:val="20"/>
                <w:lang w:val="en-GB"/>
              </w:rPr>
              <w:t>GEF Agency Project ID:</w:t>
            </w:r>
          </w:p>
        </w:tc>
        <w:tc>
          <w:tcPr>
            <w:tcW w:w="643" w:type="pct"/>
          </w:tcPr>
          <w:p w:rsidR="0093482C" w:rsidRPr="00E908DD" w:rsidRDefault="00187305" w:rsidP="0044759C">
            <w:pPr>
              <w:ind w:left="0"/>
              <w:contextualSpacing/>
              <w:jc w:val="center"/>
              <w:rPr>
                <w:sz w:val="20"/>
                <w:szCs w:val="20"/>
                <w:lang w:val="en-GB"/>
              </w:rPr>
            </w:pPr>
            <w:r w:rsidRPr="00E908DD">
              <w:rPr>
                <w:sz w:val="20"/>
                <w:szCs w:val="20"/>
                <w:lang w:val="en-GB"/>
              </w:rPr>
              <w:t>5177</w:t>
            </w:r>
          </w:p>
        </w:tc>
      </w:tr>
      <w:tr w:rsidR="001072F7" w:rsidRPr="00E908DD" w:rsidTr="001072F7">
        <w:trPr>
          <w:trHeight w:val="382"/>
        </w:trPr>
        <w:tc>
          <w:tcPr>
            <w:tcW w:w="1026" w:type="pct"/>
            <w:vMerge w:val="restart"/>
          </w:tcPr>
          <w:p w:rsidR="001072F7" w:rsidRPr="00E908DD" w:rsidRDefault="001072F7" w:rsidP="00A3719A">
            <w:pPr>
              <w:ind w:left="0"/>
              <w:contextualSpacing/>
              <w:rPr>
                <w:sz w:val="20"/>
                <w:szCs w:val="20"/>
                <w:lang w:val="en-GB"/>
              </w:rPr>
            </w:pPr>
            <w:r w:rsidRPr="00E908DD">
              <w:rPr>
                <w:sz w:val="20"/>
                <w:szCs w:val="20"/>
                <w:lang w:val="en-GB"/>
              </w:rPr>
              <w:t>Other Executing Partner(s):</w:t>
            </w:r>
          </w:p>
        </w:tc>
        <w:tc>
          <w:tcPr>
            <w:tcW w:w="2434" w:type="pct"/>
            <w:vMerge w:val="restart"/>
          </w:tcPr>
          <w:p w:rsidR="001072F7" w:rsidRPr="00E908DD" w:rsidRDefault="001072F7" w:rsidP="005344A6">
            <w:pPr>
              <w:ind w:left="0"/>
              <w:contextualSpacing/>
              <w:rPr>
                <w:sz w:val="20"/>
                <w:szCs w:val="20"/>
                <w:lang w:val="en-GB"/>
              </w:rPr>
            </w:pPr>
            <w:r w:rsidRPr="00E908DD">
              <w:rPr>
                <w:sz w:val="20"/>
                <w:szCs w:val="20"/>
                <w:lang w:val="en-GB"/>
              </w:rPr>
              <w:t>Institute for Biodiversity and Protected Areas (IBAP)</w:t>
            </w:r>
            <w:r>
              <w:rPr>
                <w:sz w:val="20"/>
                <w:szCs w:val="20"/>
                <w:lang w:val="en-GB"/>
              </w:rPr>
              <w:t xml:space="preserve"> of the </w:t>
            </w:r>
            <w:r w:rsidRPr="00E908DD">
              <w:rPr>
                <w:sz w:val="20"/>
                <w:szCs w:val="20"/>
                <w:lang w:val="en-GB"/>
              </w:rPr>
              <w:t>State Secretariat for Environment and Tourism (SEAT). Directorate General for Forests and Fauna (DGFF) of the Ministry of Agriculture and Rural Development</w:t>
            </w:r>
            <w:r>
              <w:rPr>
                <w:sz w:val="20"/>
                <w:szCs w:val="20"/>
                <w:lang w:val="en-GB"/>
              </w:rPr>
              <w:t xml:space="preserve"> (MARD)</w:t>
            </w:r>
            <w:r w:rsidRPr="00E908DD">
              <w:rPr>
                <w:sz w:val="20"/>
                <w:szCs w:val="20"/>
                <w:lang w:val="en-GB"/>
              </w:rPr>
              <w:t>.</w:t>
            </w:r>
          </w:p>
        </w:tc>
        <w:tc>
          <w:tcPr>
            <w:tcW w:w="897" w:type="pct"/>
          </w:tcPr>
          <w:p w:rsidR="001072F7" w:rsidRPr="00E908DD" w:rsidRDefault="001072F7" w:rsidP="00A3719A">
            <w:pPr>
              <w:ind w:left="0"/>
              <w:contextualSpacing/>
              <w:rPr>
                <w:sz w:val="20"/>
                <w:szCs w:val="20"/>
                <w:lang w:val="en-GB"/>
              </w:rPr>
            </w:pPr>
            <w:r w:rsidRPr="00E908DD">
              <w:rPr>
                <w:sz w:val="20"/>
                <w:szCs w:val="20"/>
                <w:lang w:val="en-GB"/>
              </w:rPr>
              <w:t>Submission Date:</w:t>
            </w:r>
          </w:p>
        </w:tc>
        <w:tc>
          <w:tcPr>
            <w:tcW w:w="643" w:type="pct"/>
            <w:shd w:val="clear" w:color="auto" w:fill="auto"/>
          </w:tcPr>
          <w:p w:rsidR="001072F7" w:rsidRPr="00E908DD" w:rsidRDefault="001072F7" w:rsidP="001072F7">
            <w:pPr>
              <w:ind w:left="0"/>
              <w:contextualSpacing/>
              <w:jc w:val="center"/>
              <w:rPr>
                <w:sz w:val="20"/>
                <w:szCs w:val="20"/>
                <w:lang w:val="en-GB"/>
              </w:rPr>
            </w:pPr>
            <w:r>
              <w:rPr>
                <w:sz w:val="20"/>
                <w:szCs w:val="20"/>
                <w:lang w:val="en-GB"/>
              </w:rPr>
              <w:t>April 4, 2013</w:t>
            </w:r>
          </w:p>
        </w:tc>
      </w:tr>
      <w:tr w:rsidR="001072F7" w:rsidRPr="00E908DD" w:rsidTr="001072F7">
        <w:trPr>
          <w:trHeight w:val="382"/>
        </w:trPr>
        <w:tc>
          <w:tcPr>
            <w:tcW w:w="1026" w:type="pct"/>
            <w:vMerge/>
          </w:tcPr>
          <w:p w:rsidR="001072F7" w:rsidRPr="00E908DD" w:rsidRDefault="001072F7" w:rsidP="00A3719A">
            <w:pPr>
              <w:ind w:left="0"/>
              <w:contextualSpacing/>
              <w:rPr>
                <w:sz w:val="20"/>
                <w:szCs w:val="20"/>
                <w:lang w:val="en-GB"/>
              </w:rPr>
            </w:pPr>
          </w:p>
        </w:tc>
        <w:tc>
          <w:tcPr>
            <w:tcW w:w="2434" w:type="pct"/>
            <w:vMerge/>
          </w:tcPr>
          <w:p w:rsidR="001072F7" w:rsidRPr="00E908DD" w:rsidRDefault="001072F7" w:rsidP="005344A6">
            <w:pPr>
              <w:ind w:left="0"/>
              <w:contextualSpacing/>
              <w:rPr>
                <w:sz w:val="20"/>
                <w:szCs w:val="20"/>
                <w:lang w:val="en-GB"/>
              </w:rPr>
            </w:pPr>
          </w:p>
        </w:tc>
        <w:tc>
          <w:tcPr>
            <w:tcW w:w="897" w:type="pct"/>
          </w:tcPr>
          <w:p w:rsidR="001072F7" w:rsidRPr="006F0F22" w:rsidRDefault="001072F7" w:rsidP="00A3719A">
            <w:pPr>
              <w:ind w:left="0"/>
              <w:contextualSpacing/>
              <w:rPr>
                <w:sz w:val="20"/>
                <w:szCs w:val="20"/>
                <w:lang w:val="en-GB"/>
              </w:rPr>
            </w:pPr>
            <w:r w:rsidRPr="006F0F22">
              <w:rPr>
                <w:sz w:val="20"/>
                <w:szCs w:val="20"/>
                <w:lang w:val="en-GB"/>
              </w:rPr>
              <w:t>Resubmission Date:</w:t>
            </w:r>
          </w:p>
        </w:tc>
        <w:tc>
          <w:tcPr>
            <w:tcW w:w="643" w:type="pct"/>
            <w:shd w:val="clear" w:color="auto" w:fill="auto"/>
          </w:tcPr>
          <w:p w:rsidR="001072F7" w:rsidRPr="006F0F22" w:rsidRDefault="001072F7" w:rsidP="00971ED4">
            <w:pPr>
              <w:ind w:left="0"/>
              <w:contextualSpacing/>
              <w:jc w:val="center"/>
              <w:rPr>
                <w:sz w:val="20"/>
                <w:szCs w:val="20"/>
                <w:lang w:val="en-GB"/>
              </w:rPr>
            </w:pPr>
            <w:r w:rsidRPr="006F0F22">
              <w:rPr>
                <w:sz w:val="20"/>
                <w:szCs w:val="20"/>
                <w:lang w:val="en-GB"/>
              </w:rPr>
              <w:t>April</w:t>
            </w:r>
            <w:r w:rsidR="007325CB" w:rsidRPr="006F0F22">
              <w:rPr>
                <w:sz w:val="20"/>
                <w:szCs w:val="20"/>
                <w:lang w:val="en-GB"/>
              </w:rPr>
              <w:t>, 1</w:t>
            </w:r>
            <w:r w:rsidR="00971ED4" w:rsidRPr="006F0F22">
              <w:rPr>
                <w:sz w:val="20"/>
                <w:szCs w:val="20"/>
                <w:lang w:val="en-GB"/>
              </w:rPr>
              <w:t>2</w:t>
            </w:r>
            <w:r w:rsidRPr="006F0F22">
              <w:rPr>
                <w:sz w:val="20"/>
                <w:szCs w:val="20"/>
                <w:lang w:val="en-GB"/>
              </w:rPr>
              <w:t xml:space="preserve"> 2013</w:t>
            </w:r>
          </w:p>
        </w:tc>
      </w:tr>
      <w:tr w:rsidR="00E908DD" w:rsidRPr="00E908DD" w:rsidTr="001072F7">
        <w:tc>
          <w:tcPr>
            <w:tcW w:w="1026" w:type="pct"/>
          </w:tcPr>
          <w:p w:rsidR="0093482C" w:rsidRPr="00E908DD" w:rsidRDefault="0093482C" w:rsidP="00A3719A">
            <w:pPr>
              <w:ind w:left="0"/>
              <w:contextualSpacing/>
              <w:rPr>
                <w:sz w:val="20"/>
                <w:szCs w:val="20"/>
                <w:lang w:val="en-GB"/>
              </w:rPr>
            </w:pPr>
            <w:r w:rsidRPr="00E908DD">
              <w:rPr>
                <w:sz w:val="20"/>
                <w:szCs w:val="20"/>
                <w:lang w:val="en-GB"/>
              </w:rPr>
              <w:t>GEF Focal Area (s):</w:t>
            </w:r>
          </w:p>
        </w:tc>
        <w:tc>
          <w:tcPr>
            <w:tcW w:w="2434" w:type="pct"/>
          </w:tcPr>
          <w:p w:rsidR="0093482C" w:rsidRPr="00E908DD" w:rsidRDefault="0093482C" w:rsidP="00506D5D">
            <w:pPr>
              <w:ind w:left="0"/>
              <w:contextualSpacing/>
              <w:rPr>
                <w:sz w:val="20"/>
                <w:szCs w:val="20"/>
                <w:lang w:val="en-GB"/>
              </w:rPr>
            </w:pPr>
            <w:r w:rsidRPr="00E908DD">
              <w:rPr>
                <w:sz w:val="20"/>
                <w:szCs w:val="20"/>
                <w:lang w:val="en-GB"/>
              </w:rPr>
              <w:t>Biodiversity</w:t>
            </w:r>
          </w:p>
        </w:tc>
        <w:tc>
          <w:tcPr>
            <w:tcW w:w="897" w:type="pct"/>
          </w:tcPr>
          <w:p w:rsidR="0093482C" w:rsidRPr="00E908DD" w:rsidRDefault="0093482C" w:rsidP="007E3EAC">
            <w:pPr>
              <w:ind w:left="0"/>
              <w:contextualSpacing/>
              <w:rPr>
                <w:sz w:val="20"/>
                <w:szCs w:val="20"/>
                <w:lang w:val="en-GB"/>
              </w:rPr>
            </w:pPr>
            <w:r w:rsidRPr="00E908DD">
              <w:rPr>
                <w:sz w:val="20"/>
                <w:szCs w:val="20"/>
                <w:lang w:val="en-GB"/>
              </w:rPr>
              <w:t xml:space="preserve">Project Duration </w:t>
            </w:r>
          </w:p>
        </w:tc>
        <w:tc>
          <w:tcPr>
            <w:tcW w:w="643" w:type="pct"/>
          </w:tcPr>
          <w:p w:rsidR="0093482C" w:rsidRPr="00E908DD" w:rsidRDefault="0093482C" w:rsidP="0044759C">
            <w:pPr>
              <w:ind w:left="0"/>
              <w:contextualSpacing/>
              <w:jc w:val="center"/>
              <w:rPr>
                <w:sz w:val="20"/>
                <w:szCs w:val="20"/>
                <w:lang w:val="en-GB"/>
              </w:rPr>
            </w:pPr>
            <w:r w:rsidRPr="00E908DD">
              <w:rPr>
                <w:sz w:val="20"/>
                <w:szCs w:val="20"/>
                <w:lang w:val="en-GB"/>
              </w:rPr>
              <w:t>48</w:t>
            </w:r>
            <w:r w:rsidR="007E3EAC" w:rsidRPr="00E908DD">
              <w:rPr>
                <w:sz w:val="20"/>
                <w:szCs w:val="20"/>
                <w:lang w:val="en-GB"/>
              </w:rPr>
              <w:t xml:space="preserve"> Months</w:t>
            </w:r>
          </w:p>
        </w:tc>
      </w:tr>
      <w:tr w:rsidR="00E908DD" w:rsidRPr="00E908DD" w:rsidTr="001072F7">
        <w:tc>
          <w:tcPr>
            <w:tcW w:w="1026" w:type="pct"/>
          </w:tcPr>
          <w:p w:rsidR="0093482C" w:rsidRPr="00E908DD" w:rsidRDefault="0093482C" w:rsidP="007E3EAC">
            <w:pPr>
              <w:ind w:left="0"/>
              <w:contextualSpacing/>
              <w:rPr>
                <w:sz w:val="20"/>
                <w:szCs w:val="20"/>
                <w:lang w:val="en-GB"/>
              </w:rPr>
            </w:pPr>
            <w:r w:rsidRPr="00E908DD">
              <w:rPr>
                <w:sz w:val="20"/>
                <w:szCs w:val="20"/>
                <w:lang w:val="en-GB"/>
              </w:rPr>
              <w:t>Name of parent program</w:t>
            </w:r>
            <w:r w:rsidR="00E908DD">
              <w:rPr>
                <w:sz w:val="20"/>
                <w:szCs w:val="20"/>
                <w:lang w:val="en-GB"/>
              </w:rPr>
              <w:t>:</w:t>
            </w:r>
            <w:r w:rsidRPr="00E908DD">
              <w:rPr>
                <w:sz w:val="20"/>
                <w:szCs w:val="20"/>
                <w:lang w:val="en-GB"/>
              </w:rPr>
              <w:t xml:space="preserve"> </w:t>
            </w:r>
          </w:p>
        </w:tc>
        <w:tc>
          <w:tcPr>
            <w:tcW w:w="2434" w:type="pct"/>
          </w:tcPr>
          <w:p w:rsidR="0093482C" w:rsidRPr="00E908DD" w:rsidRDefault="00187305" w:rsidP="00187305">
            <w:pPr>
              <w:ind w:left="0"/>
              <w:contextualSpacing/>
              <w:rPr>
                <w:sz w:val="20"/>
                <w:szCs w:val="20"/>
                <w:lang w:val="en-GB"/>
              </w:rPr>
            </w:pPr>
            <w:r w:rsidRPr="00E908DD">
              <w:rPr>
                <w:sz w:val="20"/>
                <w:szCs w:val="20"/>
                <w:lang w:val="en-GB"/>
              </w:rPr>
              <w:t>N/A</w:t>
            </w:r>
          </w:p>
        </w:tc>
        <w:tc>
          <w:tcPr>
            <w:tcW w:w="897" w:type="pct"/>
          </w:tcPr>
          <w:p w:rsidR="0093482C" w:rsidRPr="00E908DD" w:rsidRDefault="00D2781A" w:rsidP="00187305">
            <w:pPr>
              <w:ind w:left="0"/>
              <w:contextualSpacing/>
              <w:rPr>
                <w:sz w:val="20"/>
                <w:szCs w:val="20"/>
                <w:lang w:val="en-GB"/>
              </w:rPr>
            </w:pPr>
            <w:r w:rsidRPr="00E908DD">
              <w:rPr>
                <w:sz w:val="20"/>
                <w:szCs w:val="20"/>
                <w:lang w:val="en-GB"/>
              </w:rPr>
              <w:t>Agency Fee ($):</w:t>
            </w:r>
          </w:p>
        </w:tc>
        <w:tc>
          <w:tcPr>
            <w:tcW w:w="643" w:type="pct"/>
          </w:tcPr>
          <w:p w:rsidR="00694E15" w:rsidRPr="00E908DD" w:rsidRDefault="00187305" w:rsidP="00AF6C07">
            <w:pPr>
              <w:ind w:left="-57" w:right="-57"/>
              <w:contextualSpacing/>
              <w:jc w:val="center"/>
              <w:rPr>
                <w:sz w:val="20"/>
                <w:szCs w:val="20"/>
                <w:lang w:val="en-GB"/>
              </w:rPr>
            </w:pPr>
            <w:r w:rsidRPr="00E908DD">
              <w:rPr>
                <w:sz w:val="20"/>
                <w:szCs w:val="20"/>
                <w:lang w:val="en-GB"/>
              </w:rPr>
              <w:t>218,92</w:t>
            </w:r>
            <w:r w:rsidR="00AF6C07">
              <w:rPr>
                <w:sz w:val="20"/>
                <w:szCs w:val="20"/>
                <w:lang w:val="en-GB"/>
              </w:rPr>
              <w:t>1</w:t>
            </w:r>
          </w:p>
        </w:tc>
      </w:tr>
    </w:tbl>
    <w:p w:rsidR="00D1574B" w:rsidRPr="00A030F3" w:rsidRDefault="00D1574B" w:rsidP="00A806C9">
      <w:pPr>
        <w:pStyle w:val="Footer"/>
        <w:tabs>
          <w:tab w:val="clear" w:pos="4320"/>
          <w:tab w:val="clear" w:pos="8640"/>
        </w:tabs>
        <w:ind w:left="0"/>
        <w:contextualSpacing/>
        <w:rPr>
          <w:b/>
          <w:smallCaps/>
          <w:sz w:val="22"/>
          <w:szCs w:val="22"/>
          <w:lang w:val="en-GB"/>
        </w:rPr>
      </w:pPr>
    </w:p>
    <w:p w:rsidR="00A806C9" w:rsidRPr="00E908DD" w:rsidRDefault="00A806C9" w:rsidP="00A806C9">
      <w:pPr>
        <w:pStyle w:val="Footer"/>
        <w:tabs>
          <w:tab w:val="clear" w:pos="4320"/>
          <w:tab w:val="clear" w:pos="8640"/>
        </w:tabs>
        <w:ind w:left="0"/>
        <w:contextualSpacing/>
        <w:outlineLvl w:val="0"/>
        <w:rPr>
          <w:b/>
          <w:smallCaps/>
          <w:sz w:val="22"/>
          <w:szCs w:val="22"/>
          <w:lang w:val="en-GB"/>
        </w:rPr>
      </w:pPr>
      <w:r w:rsidRPr="00E908DD">
        <w:rPr>
          <w:b/>
          <w:caps/>
          <w:sz w:val="22"/>
          <w:szCs w:val="22"/>
          <w:lang w:val="en-GB"/>
        </w:rPr>
        <w:t xml:space="preserve">A. </w:t>
      </w:r>
      <w:r w:rsidRPr="00E908DD">
        <w:rPr>
          <w:b/>
          <w:caps/>
          <w:sz w:val="22"/>
          <w:szCs w:val="22"/>
          <w:lang w:val="en-GB"/>
        </w:rPr>
        <w:tab/>
      </w:r>
      <w:hyperlink r:id="rId9" w:history="1">
        <w:r w:rsidR="00AD7439" w:rsidRPr="00E908DD">
          <w:rPr>
            <w:rStyle w:val="Hyperlink"/>
            <w:b/>
            <w:smallCaps/>
            <w:color w:val="auto"/>
            <w:sz w:val="22"/>
            <w:szCs w:val="22"/>
            <w:u w:val="none"/>
            <w:lang w:val="en-GB"/>
          </w:rPr>
          <w:t xml:space="preserve">Focal Area Strategy </w:t>
        </w:r>
        <w:r w:rsidR="00107376" w:rsidRPr="00E908DD">
          <w:rPr>
            <w:rStyle w:val="Hyperlink"/>
            <w:b/>
            <w:smallCaps/>
            <w:color w:val="auto"/>
            <w:sz w:val="22"/>
            <w:szCs w:val="22"/>
            <w:u w:val="none"/>
            <w:lang w:val="en-GB"/>
          </w:rPr>
          <w:t>Framework</w:t>
        </w:r>
      </w:hyperlink>
      <w:r w:rsidR="00107376" w:rsidRPr="00E908DD">
        <w:rPr>
          <w:b/>
          <w:smallCaps/>
          <w:sz w:val="22"/>
          <w:szCs w:val="22"/>
          <w:lang w:val="en-GB"/>
        </w:rPr>
        <w:t>:</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097"/>
        <w:gridCol w:w="1276"/>
        <w:gridCol w:w="1939"/>
        <w:gridCol w:w="1745"/>
      </w:tblGrid>
      <w:tr w:rsidR="00794690" w:rsidRPr="00E908DD" w:rsidTr="00990851">
        <w:trPr>
          <w:trHeight w:val="260"/>
        </w:trPr>
        <w:tc>
          <w:tcPr>
            <w:tcW w:w="2757" w:type="pct"/>
            <w:shd w:val="clear" w:color="auto" w:fill="FFFFFF"/>
            <w:vAlign w:val="center"/>
          </w:tcPr>
          <w:p w:rsidR="00794690" w:rsidRPr="00E908DD" w:rsidRDefault="00794690" w:rsidP="00794690">
            <w:pPr>
              <w:ind w:left="0"/>
              <w:contextualSpacing/>
              <w:jc w:val="center"/>
              <w:rPr>
                <w:b/>
                <w:sz w:val="20"/>
                <w:szCs w:val="20"/>
                <w:lang w:val="en-GB"/>
              </w:rPr>
            </w:pPr>
            <w:r w:rsidRPr="00E908DD">
              <w:rPr>
                <w:b/>
                <w:sz w:val="20"/>
                <w:szCs w:val="20"/>
                <w:lang w:val="en-GB"/>
              </w:rPr>
              <w:t>Focal Area Objectives</w:t>
            </w:r>
          </w:p>
        </w:tc>
        <w:tc>
          <w:tcPr>
            <w:tcW w:w="577" w:type="pct"/>
            <w:shd w:val="clear" w:color="auto" w:fill="FFFFFF"/>
            <w:vAlign w:val="center"/>
          </w:tcPr>
          <w:p w:rsidR="00794690" w:rsidRPr="00E908DD" w:rsidRDefault="00794690" w:rsidP="00794690">
            <w:pPr>
              <w:ind w:left="0"/>
              <w:contextualSpacing/>
              <w:jc w:val="center"/>
              <w:rPr>
                <w:b/>
                <w:sz w:val="20"/>
                <w:szCs w:val="20"/>
                <w:lang w:val="en-GB"/>
              </w:rPr>
            </w:pPr>
            <w:r w:rsidRPr="00E908DD">
              <w:rPr>
                <w:b/>
                <w:sz w:val="20"/>
                <w:szCs w:val="20"/>
                <w:lang w:val="en-GB"/>
              </w:rPr>
              <w:t>Trust</w:t>
            </w:r>
          </w:p>
          <w:p w:rsidR="00794690" w:rsidRPr="00E908DD" w:rsidRDefault="00794690" w:rsidP="00794690">
            <w:pPr>
              <w:ind w:left="0"/>
              <w:contextualSpacing/>
              <w:jc w:val="center"/>
              <w:rPr>
                <w:b/>
                <w:sz w:val="20"/>
                <w:szCs w:val="20"/>
                <w:lang w:val="en-GB"/>
              </w:rPr>
            </w:pPr>
            <w:r w:rsidRPr="00E908DD">
              <w:rPr>
                <w:b/>
                <w:sz w:val="20"/>
                <w:szCs w:val="20"/>
                <w:lang w:val="en-GB"/>
              </w:rPr>
              <w:t>Fund</w:t>
            </w:r>
          </w:p>
        </w:tc>
        <w:tc>
          <w:tcPr>
            <w:tcW w:w="877" w:type="pct"/>
            <w:shd w:val="clear" w:color="auto" w:fill="FFFFFF"/>
            <w:vAlign w:val="center"/>
          </w:tcPr>
          <w:p w:rsidR="00794690" w:rsidRPr="00E908DD" w:rsidRDefault="00794690" w:rsidP="00794690">
            <w:pPr>
              <w:ind w:left="0"/>
              <w:contextualSpacing/>
              <w:jc w:val="center"/>
              <w:rPr>
                <w:b/>
                <w:sz w:val="20"/>
                <w:szCs w:val="20"/>
                <w:lang w:val="en-GB"/>
              </w:rPr>
            </w:pPr>
            <w:r w:rsidRPr="00E908DD">
              <w:rPr>
                <w:b/>
                <w:sz w:val="20"/>
                <w:szCs w:val="20"/>
                <w:lang w:val="en-GB"/>
              </w:rPr>
              <w:t>Indicative</w:t>
            </w:r>
          </w:p>
          <w:p w:rsidR="00794690" w:rsidRPr="00E908DD" w:rsidRDefault="00794690" w:rsidP="00B12691">
            <w:pPr>
              <w:ind w:left="0"/>
              <w:contextualSpacing/>
              <w:jc w:val="center"/>
              <w:rPr>
                <w:b/>
                <w:sz w:val="20"/>
                <w:szCs w:val="20"/>
                <w:lang w:val="en-GB"/>
              </w:rPr>
            </w:pPr>
            <w:r w:rsidRPr="00E908DD">
              <w:rPr>
                <w:b/>
                <w:sz w:val="20"/>
                <w:szCs w:val="20"/>
                <w:lang w:val="en-GB"/>
              </w:rPr>
              <w:t>Grant Amount</w:t>
            </w:r>
            <w:r w:rsidR="00B12691" w:rsidRPr="00E908DD">
              <w:rPr>
                <w:b/>
                <w:sz w:val="20"/>
                <w:szCs w:val="20"/>
                <w:lang w:val="en-GB"/>
              </w:rPr>
              <w:t xml:space="preserve"> </w:t>
            </w:r>
            <w:r w:rsidRPr="00E908DD">
              <w:rPr>
                <w:b/>
                <w:sz w:val="20"/>
                <w:szCs w:val="20"/>
                <w:lang w:val="en-GB"/>
              </w:rPr>
              <w:t>($)</w:t>
            </w:r>
          </w:p>
        </w:tc>
        <w:tc>
          <w:tcPr>
            <w:tcW w:w="789" w:type="pct"/>
            <w:shd w:val="clear" w:color="auto" w:fill="FFFFFF"/>
            <w:vAlign w:val="center"/>
          </w:tcPr>
          <w:p w:rsidR="00B12691" w:rsidRPr="00E908DD" w:rsidRDefault="00794690" w:rsidP="00794690">
            <w:pPr>
              <w:ind w:left="0"/>
              <w:contextualSpacing/>
              <w:jc w:val="center"/>
              <w:rPr>
                <w:b/>
                <w:sz w:val="20"/>
                <w:szCs w:val="20"/>
                <w:lang w:val="en-GB"/>
              </w:rPr>
            </w:pPr>
            <w:r w:rsidRPr="00E908DD">
              <w:rPr>
                <w:b/>
                <w:sz w:val="20"/>
                <w:szCs w:val="20"/>
                <w:lang w:val="en-GB"/>
              </w:rPr>
              <w:t xml:space="preserve">Indicative </w:t>
            </w:r>
          </w:p>
          <w:p w:rsidR="00794690" w:rsidRPr="00E908DD" w:rsidRDefault="00794690" w:rsidP="00B12691">
            <w:pPr>
              <w:ind w:left="0"/>
              <w:contextualSpacing/>
              <w:jc w:val="center"/>
              <w:rPr>
                <w:b/>
                <w:sz w:val="20"/>
                <w:szCs w:val="20"/>
                <w:lang w:val="en-GB"/>
              </w:rPr>
            </w:pPr>
            <w:r w:rsidRPr="00E908DD">
              <w:rPr>
                <w:b/>
                <w:sz w:val="20"/>
                <w:szCs w:val="20"/>
                <w:lang w:val="en-GB"/>
              </w:rPr>
              <w:t>Co-financing</w:t>
            </w:r>
            <w:r w:rsidR="00B12691" w:rsidRPr="00E908DD">
              <w:rPr>
                <w:b/>
                <w:sz w:val="20"/>
                <w:szCs w:val="20"/>
                <w:lang w:val="en-GB"/>
              </w:rPr>
              <w:t xml:space="preserve"> </w:t>
            </w:r>
            <w:r w:rsidRPr="00E908DD">
              <w:rPr>
                <w:b/>
                <w:sz w:val="20"/>
                <w:szCs w:val="20"/>
                <w:lang w:val="en-GB"/>
              </w:rPr>
              <w:t>($)</w:t>
            </w:r>
          </w:p>
        </w:tc>
      </w:tr>
      <w:tr w:rsidR="00794690" w:rsidRPr="00E908DD" w:rsidTr="00990851">
        <w:tc>
          <w:tcPr>
            <w:tcW w:w="2757" w:type="pct"/>
            <w:shd w:val="clear" w:color="auto" w:fill="FFFFFF"/>
          </w:tcPr>
          <w:p w:rsidR="00794690" w:rsidRPr="00E908DD" w:rsidRDefault="00794690" w:rsidP="00794690">
            <w:pPr>
              <w:autoSpaceDE w:val="0"/>
              <w:autoSpaceDN w:val="0"/>
              <w:adjustRightInd w:val="0"/>
              <w:ind w:left="0"/>
              <w:rPr>
                <w:sz w:val="20"/>
                <w:szCs w:val="20"/>
                <w:lang w:val="en-GB"/>
              </w:rPr>
            </w:pPr>
            <w:r w:rsidRPr="00E908DD">
              <w:rPr>
                <w:b/>
                <w:caps/>
                <w:sz w:val="20"/>
                <w:szCs w:val="20"/>
                <w:lang w:val="en-GB"/>
              </w:rPr>
              <w:t xml:space="preserve">BD-1 </w:t>
            </w:r>
            <w:r w:rsidRPr="00E908DD">
              <w:rPr>
                <w:sz w:val="20"/>
                <w:szCs w:val="20"/>
                <w:lang w:val="en-GB"/>
              </w:rPr>
              <w:t>Improve</w:t>
            </w:r>
            <w:r w:rsidR="00A5268C" w:rsidRPr="00E908DD">
              <w:rPr>
                <w:sz w:val="20"/>
                <w:szCs w:val="20"/>
                <w:lang w:val="en-GB"/>
              </w:rPr>
              <w:t xml:space="preserve"> </w:t>
            </w:r>
            <w:r w:rsidRPr="00E908DD">
              <w:rPr>
                <w:sz w:val="20"/>
                <w:szCs w:val="20"/>
                <w:lang w:val="en-GB"/>
              </w:rPr>
              <w:t>Sustainability</w:t>
            </w:r>
            <w:r w:rsidR="00A5268C" w:rsidRPr="00E908DD">
              <w:rPr>
                <w:sz w:val="20"/>
                <w:szCs w:val="20"/>
                <w:lang w:val="en-GB"/>
              </w:rPr>
              <w:t xml:space="preserve"> </w:t>
            </w:r>
            <w:r w:rsidRPr="00E908DD">
              <w:rPr>
                <w:sz w:val="20"/>
                <w:szCs w:val="20"/>
                <w:lang w:val="en-GB"/>
              </w:rPr>
              <w:t>of Protected</w:t>
            </w:r>
            <w:r w:rsidR="00A5268C" w:rsidRPr="00E908DD">
              <w:rPr>
                <w:sz w:val="20"/>
                <w:szCs w:val="20"/>
                <w:lang w:val="en-GB"/>
              </w:rPr>
              <w:t xml:space="preserve"> </w:t>
            </w:r>
            <w:r w:rsidRPr="00E908DD">
              <w:rPr>
                <w:sz w:val="20"/>
                <w:szCs w:val="20"/>
                <w:lang w:val="en-GB"/>
              </w:rPr>
              <w:t>Area Systems</w:t>
            </w:r>
          </w:p>
        </w:tc>
        <w:tc>
          <w:tcPr>
            <w:tcW w:w="577" w:type="pct"/>
            <w:shd w:val="clear" w:color="auto" w:fill="FFFFFF"/>
          </w:tcPr>
          <w:p w:rsidR="008024A6" w:rsidRPr="00E908DD" w:rsidRDefault="00794690">
            <w:pPr>
              <w:ind w:left="0"/>
              <w:contextualSpacing/>
              <w:jc w:val="center"/>
              <w:rPr>
                <w:sz w:val="20"/>
                <w:szCs w:val="20"/>
                <w:lang w:val="en-GB"/>
              </w:rPr>
            </w:pPr>
            <w:r w:rsidRPr="00E908DD">
              <w:rPr>
                <w:sz w:val="20"/>
                <w:szCs w:val="20"/>
                <w:lang w:val="en-GB"/>
              </w:rPr>
              <w:t>GEF-TF</w:t>
            </w:r>
          </w:p>
        </w:tc>
        <w:tc>
          <w:tcPr>
            <w:tcW w:w="877" w:type="pct"/>
            <w:shd w:val="clear" w:color="auto" w:fill="FFFFFF"/>
          </w:tcPr>
          <w:p w:rsidR="008024A6" w:rsidRPr="00E908DD" w:rsidRDefault="00794690" w:rsidP="009B3CC5">
            <w:pPr>
              <w:ind w:left="0"/>
              <w:contextualSpacing/>
              <w:jc w:val="right"/>
              <w:rPr>
                <w:sz w:val="20"/>
                <w:szCs w:val="20"/>
                <w:lang w:val="en-GB"/>
              </w:rPr>
            </w:pPr>
            <w:r w:rsidRPr="00E908DD">
              <w:rPr>
                <w:sz w:val="20"/>
                <w:szCs w:val="20"/>
                <w:lang w:val="en-GB"/>
              </w:rPr>
              <w:t>2,</w:t>
            </w:r>
            <w:r w:rsidR="009B3CC5">
              <w:rPr>
                <w:sz w:val="20"/>
                <w:szCs w:val="20"/>
                <w:lang w:val="en-GB"/>
              </w:rPr>
              <w:t>304</w:t>
            </w:r>
            <w:r w:rsidRPr="00E908DD">
              <w:rPr>
                <w:sz w:val="20"/>
                <w:szCs w:val="20"/>
                <w:lang w:val="en-GB"/>
              </w:rPr>
              <w:t>,</w:t>
            </w:r>
            <w:r w:rsidR="009B3CC5">
              <w:rPr>
                <w:sz w:val="20"/>
                <w:szCs w:val="20"/>
                <w:lang w:val="en-GB"/>
              </w:rPr>
              <w:t>429</w:t>
            </w:r>
          </w:p>
        </w:tc>
        <w:tc>
          <w:tcPr>
            <w:tcW w:w="789" w:type="pct"/>
            <w:shd w:val="clear" w:color="auto" w:fill="auto"/>
          </w:tcPr>
          <w:p w:rsidR="00794690" w:rsidRPr="00E908DD" w:rsidRDefault="00C6404A" w:rsidP="00BE6CDD">
            <w:pPr>
              <w:contextualSpacing/>
              <w:jc w:val="right"/>
              <w:rPr>
                <w:sz w:val="20"/>
                <w:szCs w:val="20"/>
                <w:lang w:val="en-GB"/>
              </w:rPr>
            </w:pPr>
            <w:r w:rsidRPr="00E908DD">
              <w:rPr>
                <w:sz w:val="20"/>
                <w:szCs w:val="20"/>
                <w:lang w:val="en-GB"/>
              </w:rPr>
              <w:t>11,</w:t>
            </w:r>
            <w:r w:rsidR="00BE6CDD">
              <w:rPr>
                <w:sz w:val="20"/>
                <w:szCs w:val="20"/>
                <w:lang w:val="en-GB"/>
              </w:rPr>
              <w:t>610</w:t>
            </w:r>
            <w:r w:rsidRPr="00E908DD">
              <w:rPr>
                <w:sz w:val="20"/>
                <w:szCs w:val="20"/>
                <w:lang w:val="en-GB"/>
              </w:rPr>
              <w:t>,000</w:t>
            </w:r>
          </w:p>
        </w:tc>
      </w:tr>
      <w:tr w:rsidR="00794690" w:rsidRPr="00E908DD" w:rsidTr="00990851">
        <w:tc>
          <w:tcPr>
            <w:tcW w:w="3334" w:type="pct"/>
            <w:gridSpan w:val="2"/>
            <w:tcBorders>
              <w:top w:val="double" w:sz="4" w:space="0" w:color="auto"/>
              <w:bottom w:val="double" w:sz="4" w:space="0" w:color="auto"/>
            </w:tcBorders>
            <w:shd w:val="clear" w:color="auto" w:fill="FFFFFF"/>
          </w:tcPr>
          <w:p w:rsidR="00794690" w:rsidRPr="00E908DD" w:rsidRDefault="00794690" w:rsidP="003E2AD2">
            <w:pPr>
              <w:contextualSpacing/>
              <w:jc w:val="right"/>
              <w:rPr>
                <w:b/>
                <w:sz w:val="20"/>
                <w:szCs w:val="20"/>
                <w:lang w:val="en-GB"/>
              </w:rPr>
            </w:pPr>
            <w:r w:rsidRPr="00E908DD">
              <w:rPr>
                <w:b/>
                <w:sz w:val="20"/>
                <w:szCs w:val="20"/>
                <w:lang w:val="en-GB"/>
              </w:rPr>
              <w:t>Total project cost</w:t>
            </w:r>
          </w:p>
        </w:tc>
        <w:tc>
          <w:tcPr>
            <w:tcW w:w="877" w:type="pct"/>
            <w:tcBorders>
              <w:top w:val="double" w:sz="4" w:space="0" w:color="auto"/>
              <w:bottom w:val="double" w:sz="4" w:space="0" w:color="auto"/>
            </w:tcBorders>
            <w:shd w:val="clear" w:color="auto" w:fill="FFFFFF"/>
          </w:tcPr>
          <w:p w:rsidR="00794690" w:rsidRPr="00E908DD" w:rsidRDefault="00794690" w:rsidP="00EB2D17">
            <w:pPr>
              <w:contextualSpacing/>
              <w:jc w:val="right"/>
              <w:rPr>
                <w:b/>
                <w:sz w:val="20"/>
                <w:szCs w:val="20"/>
                <w:lang w:val="en-GB"/>
              </w:rPr>
            </w:pPr>
            <w:r w:rsidRPr="00E908DD">
              <w:rPr>
                <w:b/>
                <w:sz w:val="20"/>
                <w:szCs w:val="20"/>
                <w:lang w:val="en-GB"/>
              </w:rPr>
              <w:t>2,304,429</w:t>
            </w:r>
          </w:p>
        </w:tc>
        <w:tc>
          <w:tcPr>
            <w:tcW w:w="789" w:type="pct"/>
            <w:tcBorders>
              <w:top w:val="double" w:sz="4" w:space="0" w:color="auto"/>
              <w:bottom w:val="double" w:sz="4" w:space="0" w:color="auto"/>
            </w:tcBorders>
            <w:shd w:val="clear" w:color="auto" w:fill="auto"/>
          </w:tcPr>
          <w:p w:rsidR="00794690" w:rsidRPr="00E908DD" w:rsidRDefault="00C6404A" w:rsidP="00354234">
            <w:pPr>
              <w:contextualSpacing/>
              <w:jc w:val="right"/>
              <w:rPr>
                <w:b/>
                <w:sz w:val="20"/>
                <w:szCs w:val="20"/>
                <w:lang w:val="en-GB"/>
              </w:rPr>
            </w:pPr>
            <w:r w:rsidRPr="00E908DD">
              <w:rPr>
                <w:b/>
                <w:sz w:val="20"/>
                <w:szCs w:val="20"/>
                <w:lang w:val="en-GB"/>
              </w:rPr>
              <w:t>11,610,000</w:t>
            </w:r>
          </w:p>
        </w:tc>
      </w:tr>
    </w:tbl>
    <w:p w:rsidR="00A806C9" w:rsidRPr="00A030F3" w:rsidRDefault="00A806C9" w:rsidP="00A806C9">
      <w:pPr>
        <w:pStyle w:val="Footer"/>
        <w:tabs>
          <w:tab w:val="clear" w:pos="4320"/>
          <w:tab w:val="clear" w:pos="8640"/>
        </w:tabs>
        <w:ind w:left="0"/>
        <w:contextualSpacing/>
        <w:outlineLvl w:val="0"/>
        <w:rPr>
          <w:b/>
          <w:smallCaps/>
          <w:sz w:val="22"/>
          <w:szCs w:val="22"/>
          <w:lang w:val="en-GB"/>
        </w:rPr>
      </w:pPr>
    </w:p>
    <w:p w:rsidR="00A806C9" w:rsidRPr="001D5009" w:rsidRDefault="00A806C9" w:rsidP="00A806C9">
      <w:pPr>
        <w:pStyle w:val="Footer"/>
        <w:tabs>
          <w:tab w:val="clear" w:pos="4320"/>
          <w:tab w:val="clear" w:pos="8640"/>
        </w:tabs>
        <w:ind w:left="0"/>
        <w:contextualSpacing/>
        <w:outlineLvl w:val="0"/>
        <w:rPr>
          <w:b/>
          <w:smallCaps/>
          <w:sz w:val="22"/>
          <w:szCs w:val="22"/>
          <w:lang w:val="en-GB"/>
        </w:rPr>
      </w:pPr>
      <w:r w:rsidRPr="001D5009">
        <w:rPr>
          <w:b/>
          <w:smallCaps/>
          <w:sz w:val="22"/>
          <w:szCs w:val="22"/>
          <w:lang w:val="en-GB"/>
        </w:rPr>
        <w:t xml:space="preserve">B. </w:t>
      </w:r>
      <w:r w:rsidRPr="001D5009">
        <w:rPr>
          <w:b/>
          <w:smallCaps/>
          <w:sz w:val="22"/>
          <w:szCs w:val="22"/>
          <w:lang w:val="en-GB"/>
        </w:rPr>
        <w:tab/>
      </w:r>
      <w:r w:rsidR="00D1574B" w:rsidRPr="001D5009">
        <w:rPr>
          <w:b/>
          <w:smallCaps/>
          <w:sz w:val="22"/>
          <w:szCs w:val="22"/>
          <w:lang w:val="en-GB"/>
        </w:rPr>
        <w:t>Project Framework</w:t>
      </w:r>
      <w:r w:rsidR="00927C78" w:rsidRPr="001D5009">
        <w:rPr>
          <w:b/>
          <w:smallCaps/>
          <w:sz w:val="22"/>
          <w:szCs w:val="22"/>
          <w:lang w:val="en-GB"/>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551"/>
        <w:gridCol w:w="575"/>
        <w:gridCol w:w="2695"/>
        <w:gridCol w:w="3684"/>
        <w:gridCol w:w="709"/>
        <w:gridCol w:w="992"/>
        <w:gridCol w:w="1116"/>
      </w:tblGrid>
      <w:tr w:rsidR="00187950" w:rsidRPr="001D5009" w:rsidTr="0050230D">
        <w:trPr>
          <w:trHeight w:val="260"/>
        </w:trPr>
        <w:tc>
          <w:tcPr>
            <w:tcW w:w="5000" w:type="pct"/>
            <w:gridSpan w:val="7"/>
            <w:shd w:val="clear" w:color="auto" w:fill="FFFFFF"/>
            <w:vAlign w:val="center"/>
          </w:tcPr>
          <w:p w:rsidR="00187950" w:rsidRPr="001D5009" w:rsidRDefault="00794690" w:rsidP="007D6E95">
            <w:pPr>
              <w:ind w:left="0"/>
              <w:contextualSpacing/>
              <w:rPr>
                <w:bCs/>
                <w:iCs/>
                <w:sz w:val="20"/>
                <w:szCs w:val="20"/>
              </w:rPr>
            </w:pPr>
            <w:r w:rsidRPr="001D5009">
              <w:rPr>
                <w:b/>
                <w:sz w:val="20"/>
                <w:szCs w:val="20"/>
                <w:lang w:val="en-GB"/>
              </w:rPr>
              <w:t>Project Objective:</w:t>
            </w:r>
            <w:r w:rsidR="00BD4880" w:rsidRPr="001D5009">
              <w:rPr>
                <w:b/>
                <w:sz w:val="20"/>
                <w:szCs w:val="20"/>
                <w:lang w:val="en-GB"/>
              </w:rPr>
              <w:t xml:space="preserve"> </w:t>
            </w:r>
            <w:r w:rsidR="007D6E95" w:rsidRPr="001D5009">
              <w:rPr>
                <w:sz w:val="20"/>
                <w:szCs w:val="20"/>
                <w:lang w:val="en-GB"/>
              </w:rPr>
              <w:t>Strengthening financial sustainability and management effectiveness of the national PA system in Guinea-Bissau</w:t>
            </w:r>
          </w:p>
        </w:tc>
      </w:tr>
      <w:tr w:rsidR="00CC6F03" w:rsidRPr="001D5009" w:rsidTr="00A82E10">
        <w:trPr>
          <w:trHeight w:val="260"/>
        </w:trPr>
        <w:tc>
          <w:tcPr>
            <w:tcW w:w="685" w:type="pct"/>
            <w:shd w:val="clear" w:color="auto" w:fill="FFFFFF"/>
            <w:vAlign w:val="center"/>
          </w:tcPr>
          <w:p w:rsidR="00187950" w:rsidRPr="001D5009" w:rsidRDefault="00187950" w:rsidP="00CE04DA">
            <w:pPr>
              <w:ind w:left="-57" w:right="-57"/>
              <w:contextualSpacing/>
              <w:jc w:val="center"/>
              <w:rPr>
                <w:b/>
                <w:sz w:val="20"/>
                <w:szCs w:val="20"/>
                <w:lang w:val="en-GB"/>
              </w:rPr>
            </w:pPr>
            <w:r w:rsidRPr="001D5009">
              <w:rPr>
                <w:b/>
                <w:sz w:val="20"/>
                <w:szCs w:val="20"/>
                <w:lang w:val="en-GB"/>
              </w:rPr>
              <w:t>Project</w:t>
            </w:r>
          </w:p>
          <w:p w:rsidR="00187950" w:rsidRPr="001D5009" w:rsidRDefault="00187950" w:rsidP="00CE04DA">
            <w:pPr>
              <w:ind w:left="-57" w:right="-57"/>
              <w:contextualSpacing/>
              <w:jc w:val="center"/>
              <w:rPr>
                <w:b/>
                <w:sz w:val="20"/>
                <w:szCs w:val="20"/>
                <w:lang w:val="en-GB"/>
              </w:rPr>
            </w:pPr>
            <w:r w:rsidRPr="001D5009">
              <w:rPr>
                <w:b/>
                <w:sz w:val="20"/>
                <w:szCs w:val="20"/>
                <w:lang w:val="en-GB"/>
              </w:rPr>
              <w:t>Component</w:t>
            </w:r>
          </w:p>
        </w:tc>
        <w:tc>
          <w:tcPr>
            <w:tcW w:w="254" w:type="pct"/>
            <w:shd w:val="clear" w:color="auto" w:fill="FFFFFF"/>
            <w:vAlign w:val="center"/>
          </w:tcPr>
          <w:p w:rsidR="00187950" w:rsidRPr="001D5009" w:rsidRDefault="00187950" w:rsidP="00A82E10">
            <w:pPr>
              <w:ind w:left="-57" w:right="-113"/>
              <w:contextualSpacing/>
              <w:jc w:val="center"/>
              <w:rPr>
                <w:b/>
                <w:sz w:val="20"/>
                <w:szCs w:val="20"/>
                <w:lang w:val="en-GB"/>
              </w:rPr>
            </w:pPr>
            <w:r w:rsidRPr="001D5009">
              <w:rPr>
                <w:b/>
                <w:sz w:val="20"/>
                <w:szCs w:val="20"/>
                <w:lang w:val="en-GB"/>
              </w:rPr>
              <w:t>Grant</w:t>
            </w:r>
          </w:p>
          <w:p w:rsidR="00187950" w:rsidRPr="001D5009" w:rsidRDefault="00187950" w:rsidP="00A82E10">
            <w:pPr>
              <w:ind w:left="-57" w:right="-113"/>
              <w:contextualSpacing/>
              <w:jc w:val="center"/>
              <w:rPr>
                <w:b/>
                <w:sz w:val="20"/>
                <w:szCs w:val="20"/>
                <w:lang w:val="en-GB"/>
              </w:rPr>
            </w:pPr>
            <w:r w:rsidRPr="001D5009">
              <w:rPr>
                <w:b/>
                <w:sz w:val="20"/>
                <w:szCs w:val="20"/>
                <w:lang w:val="en-GB"/>
              </w:rPr>
              <w:t>Type</w:t>
            </w:r>
          </w:p>
        </w:tc>
        <w:tc>
          <w:tcPr>
            <w:tcW w:w="1190" w:type="pct"/>
            <w:shd w:val="clear" w:color="auto" w:fill="FFFFFF"/>
            <w:vAlign w:val="center"/>
          </w:tcPr>
          <w:p w:rsidR="00187950" w:rsidRPr="001D5009" w:rsidRDefault="00187950" w:rsidP="00CE04DA">
            <w:pPr>
              <w:ind w:left="-57" w:right="-57"/>
              <w:contextualSpacing/>
              <w:jc w:val="center"/>
              <w:rPr>
                <w:b/>
                <w:sz w:val="20"/>
                <w:szCs w:val="20"/>
                <w:lang w:val="en-GB"/>
              </w:rPr>
            </w:pPr>
            <w:r w:rsidRPr="001D5009">
              <w:rPr>
                <w:b/>
                <w:sz w:val="20"/>
                <w:szCs w:val="20"/>
                <w:lang w:val="en-GB"/>
              </w:rPr>
              <w:t>Expected Outcomes</w:t>
            </w:r>
          </w:p>
        </w:tc>
        <w:tc>
          <w:tcPr>
            <w:tcW w:w="1627" w:type="pct"/>
            <w:shd w:val="clear" w:color="auto" w:fill="FFFFFF"/>
            <w:vAlign w:val="center"/>
          </w:tcPr>
          <w:p w:rsidR="00187950" w:rsidRPr="001D5009" w:rsidRDefault="00187950" w:rsidP="00CE04DA">
            <w:pPr>
              <w:ind w:left="-57" w:right="-57"/>
              <w:contextualSpacing/>
              <w:jc w:val="center"/>
              <w:rPr>
                <w:b/>
                <w:sz w:val="20"/>
                <w:szCs w:val="20"/>
                <w:lang w:val="en-GB"/>
              </w:rPr>
            </w:pPr>
            <w:r w:rsidRPr="001D5009">
              <w:rPr>
                <w:b/>
                <w:sz w:val="20"/>
                <w:szCs w:val="20"/>
                <w:lang w:val="en-GB"/>
              </w:rPr>
              <w:t>Expected Outputs</w:t>
            </w:r>
          </w:p>
        </w:tc>
        <w:tc>
          <w:tcPr>
            <w:tcW w:w="313" w:type="pct"/>
            <w:shd w:val="clear" w:color="auto" w:fill="FFFFFF"/>
            <w:vAlign w:val="center"/>
          </w:tcPr>
          <w:p w:rsidR="00187950" w:rsidRPr="001D5009" w:rsidRDefault="00187950" w:rsidP="00217E98">
            <w:pPr>
              <w:ind w:left="-113" w:right="-113"/>
              <w:contextualSpacing/>
              <w:jc w:val="center"/>
              <w:rPr>
                <w:b/>
                <w:sz w:val="20"/>
                <w:szCs w:val="20"/>
                <w:lang w:val="en-GB"/>
              </w:rPr>
            </w:pPr>
            <w:r w:rsidRPr="001D5009">
              <w:rPr>
                <w:b/>
                <w:sz w:val="20"/>
                <w:szCs w:val="20"/>
                <w:lang w:val="en-GB"/>
              </w:rPr>
              <w:t>Trust Fund</w:t>
            </w:r>
          </w:p>
        </w:tc>
        <w:tc>
          <w:tcPr>
            <w:tcW w:w="438" w:type="pct"/>
            <w:shd w:val="clear" w:color="auto" w:fill="FFFFFF"/>
            <w:vAlign w:val="center"/>
          </w:tcPr>
          <w:p w:rsidR="00187950" w:rsidRPr="001D5009" w:rsidRDefault="00187950" w:rsidP="008A12E7">
            <w:pPr>
              <w:ind w:left="-113" w:right="-113"/>
              <w:contextualSpacing/>
              <w:jc w:val="center"/>
              <w:rPr>
                <w:b/>
                <w:sz w:val="20"/>
                <w:szCs w:val="20"/>
                <w:lang w:val="en-GB"/>
              </w:rPr>
            </w:pPr>
            <w:r w:rsidRPr="001D5009">
              <w:rPr>
                <w:b/>
                <w:sz w:val="20"/>
                <w:szCs w:val="20"/>
                <w:lang w:val="en-GB"/>
              </w:rPr>
              <w:t>Indicative</w:t>
            </w:r>
          </w:p>
          <w:p w:rsidR="00187950" w:rsidRPr="001D5009" w:rsidRDefault="00187950" w:rsidP="008A12E7">
            <w:pPr>
              <w:ind w:left="-113" w:right="-113"/>
              <w:contextualSpacing/>
              <w:jc w:val="center"/>
              <w:rPr>
                <w:b/>
                <w:sz w:val="20"/>
                <w:szCs w:val="20"/>
                <w:lang w:val="en-GB"/>
              </w:rPr>
            </w:pPr>
            <w:r w:rsidRPr="001D5009">
              <w:rPr>
                <w:b/>
                <w:sz w:val="20"/>
                <w:szCs w:val="20"/>
                <w:lang w:val="en-GB"/>
              </w:rPr>
              <w:t>Grant Amount ($)</w:t>
            </w:r>
          </w:p>
        </w:tc>
        <w:tc>
          <w:tcPr>
            <w:tcW w:w="493" w:type="pct"/>
            <w:shd w:val="clear" w:color="auto" w:fill="FFFFFF"/>
            <w:vAlign w:val="center"/>
          </w:tcPr>
          <w:p w:rsidR="00187950" w:rsidRPr="001D5009" w:rsidRDefault="00187950" w:rsidP="008A12E7">
            <w:pPr>
              <w:ind w:left="-113" w:right="-113"/>
              <w:contextualSpacing/>
              <w:jc w:val="center"/>
              <w:rPr>
                <w:b/>
                <w:sz w:val="20"/>
                <w:szCs w:val="20"/>
                <w:lang w:val="en-GB"/>
              </w:rPr>
            </w:pPr>
            <w:r w:rsidRPr="001D5009">
              <w:rPr>
                <w:b/>
                <w:sz w:val="20"/>
                <w:szCs w:val="20"/>
                <w:lang w:val="en-GB"/>
              </w:rPr>
              <w:t>Indicative Co-financing</w:t>
            </w:r>
          </w:p>
          <w:p w:rsidR="00187950" w:rsidRPr="001D5009" w:rsidRDefault="00187950" w:rsidP="008A12E7">
            <w:pPr>
              <w:ind w:left="-113" w:right="-113"/>
              <w:contextualSpacing/>
              <w:jc w:val="center"/>
              <w:rPr>
                <w:b/>
                <w:sz w:val="20"/>
                <w:szCs w:val="20"/>
                <w:lang w:val="en-GB"/>
              </w:rPr>
            </w:pPr>
            <w:r w:rsidRPr="001D5009">
              <w:rPr>
                <w:b/>
                <w:sz w:val="20"/>
                <w:szCs w:val="20"/>
                <w:lang w:val="en-GB"/>
              </w:rPr>
              <w:t>($)</w:t>
            </w:r>
          </w:p>
        </w:tc>
      </w:tr>
      <w:tr w:rsidR="00CC6F03" w:rsidRPr="00A030F3" w:rsidTr="00A82E10">
        <w:tc>
          <w:tcPr>
            <w:tcW w:w="685" w:type="pct"/>
            <w:shd w:val="clear" w:color="auto" w:fill="FFFFFF"/>
          </w:tcPr>
          <w:p w:rsidR="00187950" w:rsidRPr="00217E98" w:rsidRDefault="00187950" w:rsidP="002859DE">
            <w:pPr>
              <w:ind w:left="0"/>
              <w:contextualSpacing/>
              <w:rPr>
                <w:sz w:val="20"/>
                <w:szCs w:val="20"/>
                <w:lang w:val="en-GB"/>
              </w:rPr>
            </w:pPr>
            <w:r w:rsidRPr="00217E98">
              <w:rPr>
                <w:sz w:val="20"/>
                <w:szCs w:val="20"/>
                <w:lang w:val="en-GB"/>
              </w:rPr>
              <w:t xml:space="preserve">1. Strengthening the financial </w:t>
            </w:r>
            <w:r w:rsidR="002859DE" w:rsidRPr="00217E98">
              <w:rPr>
                <w:sz w:val="20"/>
                <w:szCs w:val="20"/>
                <w:lang w:val="en-GB"/>
              </w:rPr>
              <w:t>framework</w:t>
            </w:r>
            <w:r w:rsidR="0076673C" w:rsidRPr="00217E98">
              <w:rPr>
                <w:sz w:val="20"/>
                <w:szCs w:val="20"/>
                <w:lang w:val="en-GB"/>
              </w:rPr>
              <w:t xml:space="preserve"> </w:t>
            </w:r>
            <w:r w:rsidRPr="00217E98">
              <w:rPr>
                <w:sz w:val="20"/>
                <w:szCs w:val="20"/>
                <w:lang w:val="en-GB"/>
              </w:rPr>
              <w:t>of the national PA system</w:t>
            </w:r>
          </w:p>
        </w:tc>
        <w:tc>
          <w:tcPr>
            <w:tcW w:w="254" w:type="pct"/>
            <w:shd w:val="clear" w:color="auto" w:fill="FFFFFF"/>
          </w:tcPr>
          <w:p w:rsidR="00187950" w:rsidRPr="001D5009" w:rsidRDefault="00187950" w:rsidP="00910097">
            <w:pPr>
              <w:ind w:left="0"/>
              <w:contextualSpacing/>
              <w:rPr>
                <w:sz w:val="20"/>
                <w:szCs w:val="20"/>
                <w:lang w:val="en-GB"/>
              </w:rPr>
            </w:pPr>
            <w:r w:rsidRPr="001D5009">
              <w:rPr>
                <w:sz w:val="20"/>
                <w:szCs w:val="20"/>
                <w:lang w:val="en-GB"/>
              </w:rPr>
              <w:t xml:space="preserve">Inv. </w:t>
            </w:r>
          </w:p>
        </w:tc>
        <w:tc>
          <w:tcPr>
            <w:tcW w:w="1190" w:type="pct"/>
            <w:shd w:val="clear" w:color="auto" w:fill="FFFFFF"/>
          </w:tcPr>
          <w:p w:rsidR="003256D7" w:rsidRPr="006F0F22" w:rsidRDefault="00326CAD" w:rsidP="00187950">
            <w:pPr>
              <w:ind w:left="0"/>
              <w:contextualSpacing/>
              <w:rPr>
                <w:sz w:val="20"/>
                <w:szCs w:val="20"/>
                <w:lang w:val="en-GB"/>
              </w:rPr>
            </w:pPr>
            <w:r w:rsidRPr="006F0F22">
              <w:rPr>
                <w:sz w:val="20"/>
                <w:szCs w:val="20"/>
                <w:lang w:val="en-GB"/>
              </w:rPr>
              <w:t xml:space="preserve">1.1 </w:t>
            </w:r>
            <w:r w:rsidR="007E3EAC" w:rsidRPr="006F0F22">
              <w:rPr>
                <w:sz w:val="20"/>
                <w:szCs w:val="20"/>
                <w:u w:val="single"/>
                <w:lang w:val="en-GB"/>
              </w:rPr>
              <w:t>I</w:t>
            </w:r>
            <w:r w:rsidR="00CA3C7B" w:rsidRPr="006F0F22">
              <w:rPr>
                <w:sz w:val="20"/>
                <w:szCs w:val="20"/>
                <w:u w:val="single"/>
                <w:lang w:val="en-GB"/>
              </w:rPr>
              <w:t xml:space="preserve">nitial capitalisation of </w:t>
            </w:r>
            <w:r w:rsidR="008A798C" w:rsidRPr="006F0F22">
              <w:rPr>
                <w:sz w:val="20"/>
                <w:szCs w:val="20"/>
                <w:u w:val="single"/>
                <w:lang w:val="en-GB"/>
              </w:rPr>
              <w:t xml:space="preserve">the </w:t>
            </w:r>
            <w:r w:rsidR="006E4B8A" w:rsidRPr="006F0F22">
              <w:rPr>
                <w:sz w:val="20"/>
                <w:szCs w:val="20"/>
                <w:u w:val="single"/>
                <w:lang w:val="en-GB"/>
              </w:rPr>
              <w:t>endowme</w:t>
            </w:r>
            <w:r w:rsidR="008A798C" w:rsidRPr="006F0F22">
              <w:rPr>
                <w:sz w:val="20"/>
                <w:szCs w:val="20"/>
                <w:u w:val="single"/>
                <w:lang w:val="en-GB"/>
              </w:rPr>
              <w:t xml:space="preserve">nt of </w:t>
            </w:r>
            <w:r w:rsidR="00BD4880" w:rsidRPr="006F0F22">
              <w:rPr>
                <w:sz w:val="20"/>
                <w:szCs w:val="20"/>
                <w:u w:val="single"/>
                <w:lang w:val="en-GB"/>
              </w:rPr>
              <w:t>the BioGuinea Foundation (FBG)</w:t>
            </w:r>
            <w:r w:rsidR="0052327B" w:rsidRPr="006F0F22">
              <w:rPr>
                <w:rStyle w:val="FootnoteReference"/>
                <w:sz w:val="20"/>
                <w:szCs w:val="20"/>
                <w:u w:val="single"/>
                <w:lang w:val="en-GB"/>
              </w:rPr>
              <w:footnoteReference w:id="1"/>
            </w:r>
            <w:r w:rsidR="00BD4880" w:rsidRPr="006F0F22">
              <w:rPr>
                <w:sz w:val="20"/>
                <w:szCs w:val="20"/>
                <w:u w:val="single"/>
                <w:lang w:val="en-GB"/>
              </w:rPr>
              <w:t xml:space="preserve"> with </w:t>
            </w:r>
            <w:r w:rsidR="00796422" w:rsidRPr="006F0F22">
              <w:rPr>
                <w:sz w:val="20"/>
                <w:szCs w:val="20"/>
                <w:u w:val="single"/>
                <w:lang w:val="en-GB"/>
              </w:rPr>
              <w:t>$</w:t>
            </w:r>
            <w:r w:rsidR="005E7956" w:rsidRPr="006F0F22">
              <w:rPr>
                <w:sz w:val="20"/>
                <w:szCs w:val="20"/>
                <w:u w:val="single"/>
                <w:lang w:val="en-GB"/>
              </w:rPr>
              <w:t>8,6</w:t>
            </w:r>
            <w:r w:rsidR="00F837F3" w:rsidRPr="006F0F22">
              <w:rPr>
                <w:sz w:val="20"/>
                <w:szCs w:val="20"/>
                <w:u w:val="single"/>
                <w:lang w:val="en-GB"/>
              </w:rPr>
              <w:t>00,000</w:t>
            </w:r>
            <w:r w:rsidR="00354DE8" w:rsidRPr="006F0F22">
              <w:rPr>
                <w:sz w:val="20"/>
                <w:szCs w:val="20"/>
                <w:lang w:val="en-GB"/>
              </w:rPr>
              <w:t>,</w:t>
            </w:r>
            <w:r w:rsidR="00BD4880" w:rsidRPr="006F0F22">
              <w:rPr>
                <w:sz w:val="20"/>
                <w:szCs w:val="20"/>
                <w:lang w:val="en-GB"/>
              </w:rPr>
              <w:t xml:space="preserve"> </w:t>
            </w:r>
            <w:r w:rsidR="00354DE8" w:rsidRPr="006F0F22">
              <w:rPr>
                <w:sz w:val="20"/>
                <w:szCs w:val="20"/>
                <w:lang w:val="en-GB"/>
              </w:rPr>
              <w:t>increasing</w:t>
            </w:r>
            <w:r w:rsidR="007E3EAC" w:rsidRPr="006F0F22">
              <w:rPr>
                <w:sz w:val="20"/>
                <w:szCs w:val="20"/>
                <w:lang w:val="en-GB"/>
              </w:rPr>
              <w:t xml:space="preserve"> sustainabili</w:t>
            </w:r>
            <w:r w:rsidR="00354DE8" w:rsidRPr="006F0F22">
              <w:rPr>
                <w:sz w:val="20"/>
                <w:szCs w:val="20"/>
                <w:lang w:val="en-GB"/>
              </w:rPr>
              <w:t>ty of PA system and consolidating</w:t>
            </w:r>
            <w:r w:rsidR="007E3EAC" w:rsidRPr="006F0F22">
              <w:rPr>
                <w:sz w:val="20"/>
                <w:szCs w:val="20"/>
                <w:lang w:val="en-GB"/>
              </w:rPr>
              <w:t xml:space="preserve"> </w:t>
            </w:r>
            <w:r w:rsidR="003C6E62" w:rsidRPr="006F0F22">
              <w:rPr>
                <w:sz w:val="20"/>
                <w:szCs w:val="20"/>
                <w:lang w:val="en-GB"/>
              </w:rPr>
              <w:t>terrestrial PAs of Guinea Bissau</w:t>
            </w:r>
            <w:r w:rsidR="007E3EAC" w:rsidRPr="006F0F22">
              <w:rPr>
                <w:rStyle w:val="FootnoteReference"/>
                <w:sz w:val="20"/>
                <w:szCs w:val="20"/>
                <w:lang w:val="en-GB"/>
              </w:rPr>
              <w:footnoteReference w:id="2"/>
            </w:r>
            <w:r w:rsidR="007E3EAC" w:rsidRPr="006F0F22">
              <w:rPr>
                <w:sz w:val="20"/>
                <w:szCs w:val="20"/>
                <w:lang w:val="en-GB"/>
              </w:rPr>
              <w:t xml:space="preserve"> by: </w:t>
            </w:r>
          </w:p>
          <w:p w:rsidR="00BD4880" w:rsidRPr="006F0F22" w:rsidRDefault="00BD4880" w:rsidP="00187950">
            <w:pPr>
              <w:ind w:left="0"/>
              <w:contextualSpacing/>
              <w:rPr>
                <w:color w:val="92D050"/>
                <w:sz w:val="20"/>
                <w:szCs w:val="20"/>
                <w:lang w:val="en-GB"/>
              </w:rPr>
            </w:pPr>
          </w:p>
          <w:p w:rsidR="005F6D4B" w:rsidRPr="006F0F22" w:rsidRDefault="009822ED" w:rsidP="005F6D4B">
            <w:pPr>
              <w:ind w:left="0"/>
              <w:contextualSpacing/>
              <w:rPr>
                <w:sz w:val="20"/>
                <w:szCs w:val="20"/>
                <w:lang w:val="en-GB"/>
              </w:rPr>
            </w:pPr>
            <w:r w:rsidRPr="006F0F22">
              <w:rPr>
                <w:sz w:val="20"/>
                <w:szCs w:val="20"/>
                <w:lang w:val="en-GB"/>
              </w:rPr>
              <w:t xml:space="preserve">i) </w:t>
            </w:r>
            <w:r w:rsidR="007E3EAC" w:rsidRPr="006F0F22">
              <w:rPr>
                <w:sz w:val="20"/>
                <w:szCs w:val="20"/>
                <w:lang w:val="en-GB"/>
              </w:rPr>
              <w:t xml:space="preserve">providing a flow </w:t>
            </w:r>
            <w:r w:rsidR="003256D7" w:rsidRPr="006F0F22">
              <w:rPr>
                <w:sz w:val="20"/>
                <w:szCs w:val="20"/>
                <w:lang w:val="en-GB"/>
              </w:rPr>
              <w:t xml:space="preserve">of stable and sustainable financing </w:t>
            </w:r>
            <w:r w:rsidR="007E3EAC" w:rsidRPr="006F0F22">
              <w:rPr>
                <w:sz w:val="20"/>
                <w:szCs w:val="20"/>
                <w:lang w:val="en-GB"/>
              </w:rPr>
              <w:t>equivalent to</w:t>
            </w:r>
            <w:r w:rsidR="004D3FF1" w:rsidRPr="006F0F22">
              <w:rPr>
                <w:sz w:val="20"/>
                <w:szCs w:val="20"/>
                <w:lang w:val="en-GB"/>
              </w:rPr>
              <w:t xml:space="preserve"> at least</w:t>
            </w:r>
            <w:r w:rsidR="007E3EAC" w:rsidRPr="006F0F22">
              <w:rPr>
                <w:sz w:val="20"/>
                <w:szCs w:val="20"/>
                <w:lang w:val="en-GB"/>
              </w:rPr>
              <w:t xml:space="preserve"> </w:t>
            </w:r>
            <w:r w:rsidR="004F556C" w:rsidRPr="006F0F22">
              <w:rPr>
                <w:sz w:val="20"/>
                <w:szCs w:val="20"/>
                <w:lang w:val="en-GB"/>
              </w:rPr>
              <w:t>30</w:t>
            </w:r>
            <w:r w:rsidR="00D502E1" w:rsidRPr="006F0F22">
              <w:rPr>
                <w:sz w:val="20"/>
                <w:szCs w:val="20"/>
                <w:lang w:val="en-GB"/>
              </w:rPr>
              <w:t>% of the overall annual recurrent funding needs,</w:t>
            </w:r>
            <w:r w:rsidR="007A1939" w:rsidRPr="006F0F22">
              <w:rPr>
                <w:sz w:val="20"/>
                <w:szCs w:val="20"/>
                <w:lang w:val="en-GB"/>
              </w:rPr>
              <w:t xml:space="preserve"> reducing</w:t>
            </w:r>
            <w:r w:rsidR="007E3EAC" w:rsidRPr="006F0F22">
              <w:rPr>
                <w:sz w:val="20"/>
                <w:szCs w:val="20"/>
                <w:lang w:val="en-GB"/>
              </w:rPr>
              <w:t xml:space="preserve"> vulnerability from over</w:t>
            </w:r>
            <w:r w:rsidR="0036498A" w:rsidRPr="006F0F22">
              <w:rPr>
                <w:sz w:val="20"/>
                <w:szCs w:val="20"/>
                <w:lang w:val="en-GB"/>
              </w:rPr>
              <w:t>-</w:t>
            </w:r>
            <w:r w:rsidR="007E3EAC" w:rsidRPr="006F0F22">
              <w:rPr>
                <w:sz w:val="20"/>
                <w:szCs w:val="20"/>
                <w:lang w:val="en-GB"/>
              </w:rPr>
              <w:t>dependence on donor funding</w:t>
            </w:r>
            <w:r w:rsidR="007A1939" w:rsidRPr="006F0F22">
              <w:rPr>
                <w:sz w:val="20"/>
                <w:szCs w:val="20"/>
                <w:lang w:val="en-GB"/>
              </w:rPr>
              <w:t>;</w:t>
            </w:r>
          </w:p>
          <w:p w:rsidR="009822ED" w:rsidRPr="006F0F22" w:rsidRDefault="009822ED" w:rsidP="005F6D4B">
            <w:pPr>
              <w:ind w:left="0"/>
              <w:contextualSpacing/>
              <w:rPr>
                <w:sz w:val="20"/>
                <w:szCs w:val="20"/>
                <w:lang w:val="en-GB"/>
              </w:rPr>
            </w:pPr>
          </w:p>
          <w:p w:rsidR="004F0DBC" w:rsidRPr="006F0F22" w:rsidRDefault="009822ED" w:rsidP="004F0DBC">
            <w:pPr>
              <w:ind w:left="0"/>
              <w:contextualSpacing/>
              <w:rPr>
                <w:sz w:val="20"/>
                <w:szCs w:val="20"/>
                <w:lang w:val="en-GB"/>
              </w:rPr>
            </w:pPr>
            <w:r w:rsidRPr="006F0F22">
              <w:rPr>
                <w:sz w:val="20"/>
                <w:szCs w:val="20"/>
                <w:lang w:val="en-GB"/>
              </w:rPr>
              <w:t xml:space="preserve">ii) </w:t>
            </w:r>
            <w:r w:rsidR="00717C7E" w:rsidRPr="006F0F22">
              <w:rPr>
                <w:sz w:val="20"/>
                <w:szCs w:val="20"/>
                <w:lang w:val="en-GB"/>
              </w:rPr>
              <w:t xml:space="preserve">additional </w:t>
            </w:r>
            <w:r w:rsidR="00BC50A7" w:rsidRPr="006F0F22">
              <w:rPr>
                <w:sz w:val="20"/>
                <w:szCs w:val="20"/>
                <w:lang w:val="en-GB"/>
              </w:rPr>
              <w:t>income (</w:t>
            </w:r>
            <w:r w:rsidR="00717C7E" w:rsidRPr="006F0F22">
              <w:rPr>
                <w:sz w:val="20"/>
                <w:szCs w:val="20"/>
                <w:lang w:val="en-GB"/>
              </w:rPr>
              <w:t xml:space="preserve">funds and </w:t>
            </w:r>
            <w:r w:rsidR="00652541" w:rsidRPr="006F0F22">
              <w:rPr>
                <w:sz w:val="20"/>
                <w:szCs w:val="20"/>
                <w:lang w:val="en-GB"/>
              </w:rPr>
              <w:t>pledges</w:t>
            </w:r>
            <w:r w:rsidR="00BC50A7" w:rsidRPr="006F0F22">
              <w:rPr>
                <w:sz w:val="20"/>
                <w:szCs w:val="20"/>
                <w:lang w:val="en-GB"/>
              </w:rPr>
              <w:t>)</w:t>
            </w:r>
            <w:r w:rsidR="00717C7E" w:rsidRPr="006F0F22">
              <w:rPr>
                <w:sz w:val="20"/>
                <w:szCs w:val="20"/>
                <w:lang w:val="en-GB"/>
              </w:rPr>
              <w:t xml:space="preserve"> leveraged from other sources to further </w:t>
            </w:r>
            <w:r w:rsidR="007D08CC" w:rsidRPr="006F0F22">
              <w:rPr>
                <w:sz w:val="20"/>
                <w:szCs w:val="20"/>
                <w:lang w:val="en-GB"/>
              </w:rPr>
              <w:t>capitalise</w:t>
            </w:r>
            <w:r w:rsidR="00717C7E" w:rsidRPr="006F0F22">
              <w:rPr>
                <w:sz w:val="20"/>
                <w:szCs w:val="20"/>
                <w:lang w:val="en-GB"/>
              </w:rPr>
              <w:t xml:space="preserve"> the FB</w:t>
            </w:r>
            <w:r w:rsidR="00462200" w:rsidRPr="006F0F22">
              <w:rPr>
                <w:sz w:val="20"/>
                <w:szCs w:val="20"/>
                <w:lang w:val="en-GB"/>
              </w:rPr>
              <w:t>G and its endowment</w:t>
            </w:r>
            <w:r w:rsidR="007D08CC" w:rsidRPr="006F0F22">
              <w:rPr>
                <w:sz w:val="20"/>
                <w:szCs w:val="20"/>
                <w:lang w:val="en-GB"/>
              </w:rPr>
              <w:t>,</w:t>
            </w:r>
            <w:r w:rsidR="00717C7E" w:rsidRPr="006F0F22">
              <w:rPr>
                <w:sz w:val="20"/>
                <w:szCs w:val="20"/>
                <w:lang w:val="en-GB"/>
              </w:rPr>
              <w:t xml:space="preserve"> </w:t>
            </w:r>
            <w:r w:rsidR="007D08CC" w:rsidRPr="006F0F22">
              <w:rPr>
                <w:sz w:val="20"/>
                <w:szCs w:val="20"/>
                <w:lang w:val="en-GB"/>
              </w:rPr>
              <w:t xml:space="preserve">increase </w:t>
            </w:r>
            <w:r w:rsidR="00BC50A7" w:rsidRPr="006F0F22">
              <w:rPr>
                <w:sz w:val="20"/>
                <w:szCs w:val="20"/>
                <w:lang w:val="en-GB"/>
              </w:rPr>
              <w:t xml:space="preserve">the flow of recurrent revenues </w:t>
            </w:r>
            <w:r w:rsidR="007D08CC" w:rsidRPr="006F0F22">
              <w:rPr>
                <w:sz w:val="20"/>
                <w:szCs w:val="20"/>
                <w:lang w:val="en-GB"/>
              </w:rPr>
              <w:t xml:space="preserve">and the financial sustainability of the PA system (as measured by </w:t>
            </w:r>
            <w:r w:rsidR="007D08CC" w:rsidRPr="006F0F22">
              <w:rPr>
                <w:sz w:val="20"/>
                <w:szCs w:val="20"/>
                <w:lang w:val="en-GB"/>
              </w:rPr>
              <w:lastRenderedPageBreak/>
              <w:t>the PA System Financial Sustainability Scorecard (targets to be set during PPG</w:t>
            </w:r>
            <w:r w:rsidR="007D08CC" w:rsidRPr="006F0F22">
              <w:rPr>
                <w:rStyle w:val="FootnoteReference"/>
                <w:sz w:val="20"/>
                <w:szCs w:val="20"/>
                <w:lang w:val="en-GB"/>
              </w:rPr>
              <w:footnoteReference w:id="3"/>
            </w:r>
            <w:r w:rsidR="007D08CC" w:rsidRPr="006F0F22">
              <w:rPr>
                <w:sz w:val="20"/>
                <w:szCs w:val="20"/>
                <w:lang w:val="en-GB"/>
              </w:rPr>
              <w:t>)</w:t>
            </w:r>
            <w:r w:rsidR="000F6066" w:rsidRPr="006F0F22">
              <w:rPr>
                <w:sz w:val="20"/>
                <w:szCs w:val="20"/>
                <w:lang w:val="en-GB"/>
              </w:rPr>
              <w:t>.</w:t>
            </w:r>
          </w:p>
        </w:tc>
        <w:tc>
          <w:tcPr>
            <w:tcW w:w="1627" w:type="pct"/>
            <w:shd w:val="clear" w:color="auto" w:fill="FFFFFF"/>
          </w:tcPr>
          <w:p w:rsidR="00905FB7" w:rsidRPr="006F0F22" w:rsidRDefault="00187950" w:rsidP="00A82E10">
            <w:pPr>
              <w:ind w:left="-28" w:right="-28"/>
              <w:contextualSpacing/>
              <w:rPr>
                <w:sz w:val="20"/>
                <w:szCs w:val="20"/>
                <w:lang w:val="en-GB"/>
              </w:rPr>
            </w:pPr>
            <w:r w:rsidRPr="006F0F22">
              <w:rPr>
                <w:sz w:val="20"/>
                <w:szCs w:val="20"/>
                <w:lang w:val="en-GB"/>
              </w:rPr>
              <w:lastRenderedPageBreak/>
              <w:t xml:space="preserve">1.1 </w:t>
            </w:r>
            <w:r w:rsidR="00905FB7" w:rsidRPr="006F0F22">
              <w:rPr>
                <w:sz w:val="20"/>
                <w:szCs w:val="20"/>
                <w:u w:val="single"/>
                <w:lang w:val="en-GB"/>
              </w:rPr>
              <w:t>FBG Board and Executive Secretariat established</w:t>
            </w:r>
            <w:r w:rsidR="009902CE" w:rsidRPr="006F0F22">
              <w:rPr>
                <w:sz w:val="20"/>
                <w:szCs w:val="20"/>
                <w:u w:val="single"/>
                <w:lang w:val="en-GB"/>
              </w:rPr>
              <w:t xml:space="preserve"> and management systems (including fiduciary systems) in place and operational</w:t>
            </w:r>
            <w:r w:rsidR="00B6532E" w:rsidRPr="006F0F22">
              <w:rPr>
                <w:sz w:val="20"/>
                <w:szCs w:val="20"/>
                <w:lang w:val="en-GB"/>
              </w:rPr>
              <w:t>;</w:t>
            </w:r>
          </w:p>
          <w:p w:rsidR="00905FB7" w:rsidRPr="006F0F22" w:rsidRDefault="00905FB7" w:rsidP="00A82E10">
            <w:pPr>
              <w:ind w:left="-28" w:right="-28"/>
              <w:contextualSpacing/>
              <w:rPr>
                <w:color w:val="92D050"/>
                <w:sz w:val="20"/>
                <w:szCs w:val="20"/>
                <w:lang w:val="en-GB"/>
              </w:rPr>
            </w:pPr>
          </w:p>
          <w:p w:rsidR="009902CE" w:rsidRPr="006F0F22" w:rsidRDefault="009902CE" w:rsidP="00A82E10">
            <w:pPr>
              <w:ind w:left="-28" w:right="-28"/>
              <w:contextualSpacing/>
              <w:rPr>
                <w:sz w:val="20"/>
                <w:szCs w:val="20"/>
                <w:lang w:val="en-GB"/>
              </w:rPr>
            </w:pPr>
            <w:r w:rsidRPr="006F0F22">
              <w:rPr>
                <w:sz w:val="20"/>
                <w:szCs w:val="20"/>
                <w:lang w:val="en-GB"/>
              </w:rPr>
              <w:t xml:space="preserve">1.2 Transparent and </w:t>
            </w:r>
            <w:r w:rsidRPr="006F0F22">
              <w:rPr>
                <w:sz w:val="20"/>
                <w:szCs w:val="20"/>
                <w:u w:val="single"/>
                <w:lang w:val="en-GB"/>
              </w:rPr>
              <w:t xml:space="preserve">internationally recognized auditing and reporting standards/protocols </w:t>
            </w:r>
            <w:r w:rsidRPr="006F0F22">
              <w:rPr>
                <w:sz w:val="20"/>
                <w:szCs w:val="20"/>
                <w:lang w:val="en-GB"/>
              </w:rPr>
              <w:t>to monitor and evaluate the FBG’s achievements against time-bound targets and the use of endowment, sinking and revolving funds at its disposal</w:t>
            </w:r>
            <w:r w:rsidR="00B6532E" w:rsidRPr="006F0F22">
              <w:rPr>
                <w:sz w:val="20"/>
                <w:szCs w:val="20"/>
                <w:lang w:val="en-GB"/>
              </w:rPr>
              <w:t>;</w:t>
            </w:r>
          </w:p>
          <w:p w:rsidR="009902CE" w:rsidRPr="006F0F22" w:rsidRDefault="009902CE" w:rsidP="00A82E10">
            <w:pPr>
              <w:ind w:left="-28" w:right="-28"/>
              <w:contextualSpacing/>
              <w:rPr>
                <w:color w:val="92D050"/>
                <w:sz w:val="20"/>
                <w:szCs w:val="20"/>
                <w:lang w:val="en-GB"/>
              </w:rPr>
            </w:pPr>
          </w:p>
          <w:p w:rsidR="00187950" w:rsidRPr="006F0F22" w:rsidRDefault="00905FB7" w:rsidP="00A82E10">
            <w:pPr>
              <w:ind w:left="-28" w:right="-28"/>
              <w:contextualSpacing/>
              <w:rPr>
                <w:sz w:val="20"/>
                <w:szCs w:val="20"/>
                <w:lang w:val="en-GB"/>
              </w:rPr>
            </w:pPr>
            <w:r w:rsidRPr="006F0F22">
              <w:rPr>
                <w:sz w:val="20"/>
                <w:szCs w:val="20"/>
                <w:lang w:val="en-GB"/>
              </w:rPr>
              <w:t>1.</w:t>
            </w:r>
            <w:r w:rsidR="006879C3" w:rsidRPr="006F0F22">
              <w:rPr>
                <w:sz w:val="20"/>
                <w:szCs w:val="20"/>
                <w:lang w:val="en-GB"/>
              </w:rPr>
              <w:t>3</w:t>
            </w:r>
            <w:r w:rsidRPr="006F0F22">
              <w:rPr>
                <w:sz w:val="20"/>
                <w:szCs w:val="20"/>
                <w:lang w:val="en-GB"/>
              </w:rPr>
              <w:t xml:space="preserve"> </w:t>
            </w:r>
            <w:r w:rsidR="00187950" w:rsidRPr="006F0F22">
              <w:rPr>
                <w:sz w:val="20"/>
                <w:szCs w:val="20"/>
                <w:lang w:val="en-GB"/>
              </w:rPr>
              <w:t xml:space="preserve">Pre-requisite </w:t>
            </w:r>
            <w:r w:rsidR="00187950" w:rsidRPr="006F0F22">
              <w:rPr>
                <w:sz w:val="20"/>
                <w:szCs w:val="20"/>
                <w:u w:val="single"/>
                <w:lang w:val="en-GB"/>
              </w:rPr>
              <w:t>due diligence and compliance procedures</w:t>
            </w:r>
            <w:r w:rsidR="009260DB" w:rsidRPr="006F0F22">
              <w:rPr>
                <w:sz w:val="20"/>
                <w:szCs w:val="20"/>
                <w:lang w:val="en-GB"/>
              </w:rPr>
              <w:t xml:space="preserve"> </w:t>
            </w:r>
            <w:r w:rsidR="0041248D" w:rsidRPr="006F0F22">
              <w:rPr>
                <w:sz w:val="20"/>
                <w:szCs w:val="20"/>
                <w:lang w:val="en-GB"/>
              </w:rPr>
              <w:t>verified</w:t>
            </w:r>
            <w:r w:rsidR="00187950" w:rsidRPr="006F0F22">
              <w:rPr>
                <w:sz w:val="20"/>
                <w:szCs w:val="20"/>
                <w:lang w:val="en-GB"/>
              </w:rPr>
              <w:t xml:space="preserve"> and formalised, </w:t>
            </w:r>
            <w:r w:rsidR="008A4887" w:rsidRPr="006F0F22">
              <w:rPr>
                <w:sz w:val="20"/>
                <w:szCs w:val="20"/>
                <w:lang w:val="en-GB"/>
              </w:rPr>
              <w:t>and the FBG</w:t>
            </w:r>
            <w:r w:rsidR="00220623" w:rsidRPr="006F0F22">
              <w:rPr>
                <w:sz w:val="20"/>
                <w:szCs w:val="20"/>
                <w:lang w:val="en-GB"/>
              </w:rPr>
              <w:t xml:space="preserve"> endowment</w:t>
            </w:r>
            <w:r w:rsidR="008A4887" w:rsidRPr="006F0F22">
              <w:rPr>
                <w:sz w:val="20"/>
                <w:szCs w:val="20"/>
                <w:lang w:val="en-GB"/>
              </w:rPr>
              <w:t xml:space="preserve"> ca</w:t>
            </w:r>
            <w:r w:rsidR="00B52149" w:rsidRPr="006F0F22">
              <w:rPr>
                <w:sz w:val="20"/>
                <w:szCs w:val="20"/>
                <w:lang w:val="en-GB"/>
              </w:rPr>
              <w:t xml:space="preserve">pitalised with </w:t>
            </w:r>
            <w:r w:rsidR="005E7956" w:rsidRPr="006F0F22">
              <w:rPr>
                <w:sz w:val="20"/>
                <w:szCs w:val="20"/>
                <w:lang w:val="en-GB"/>
              </w:rPr>
              <w:t>$8</w:t>
            </w:r>
            <w:r w:rsidR="00B52149" w:rsidRPr="006F0F22">
              <w:rPr>
                <w:sz w:val="20"/>
                <w:szCs w:val="20"/>
                <w:lang w:val="en-GB"/>
              </w:rPr>
              <w:t>,</w:t>
            </w:r>
            <w:r w:rsidR="005E7956" w:rsidRPr="006F0F22">
              <w:rPr>
                <w:sz w:val="20"/>
                <w:szCs w:val="20"/>
                <w:lang w:val="en-GB"/>
              </w:rPr>
              <w:t>6</w:t>
            </w:r>
            <w:r w:rsidR="008A4887" w:rsidRPr="006F0F22">
              <w:rPr>
                <w:sz w:val="20"/>
                <w:szCs w:val="20"/>
                <w:lang w:val="en-GB"/>
              </w:rPr>
              <w:t>00</w:t>
            </w:r>
            <w:r w:rsidR="00D97611" w:rsidRPr="006F0F22">
              <w:rPr>
                <w:sz w:val="20"/>
                <w:szCs w:val="20"/>
                <w:lang w:val="en-GB"/>
              </w:rPr>
              <w:t xml:space="preserve">,000 </w:t>
            </w:r>
            <w:r w:rsidR="008A4887" w:rsidRPr="006F0F22">
              <w:rPr>
                <w:sz w:val="20"/>
                <w:szCs w:val="20"/>
                <w:lang w:val="en-GB"/>
              </w:rPr>
              <w:t xml:space="preserve">through direct investment by the project and </w:t>
            </w:r>
            <w:r w:rsidR="00D97611" w:rsidRPr="006F0F22">
              <w:rPr>
                <w:sz w:val="20"/>
                <w:szCs w:val="20"/>
                <w:lang w:val="en-GB"/>
              </w:rPr>
              <w:t xml:space="preserve">its </w:t>
            </w:r>
            <w:r w:rsidR="008A4887" w:rsidRPr="006F0F22">
              <w:rPr>
                <w:sz w:val="20"/>
                <w:szCs w:val="20"/>
                <w:lang w:val="en-GB"/>
              </w:rPr>
              <w:t>co</w:t>
            </w:r>
            <w:r w:rsidR="00D97611" w:rsidRPr="006F0F22">
              <w:rPr>
                <w:sz w:val="20"/>
                <w:szCs w:val="20"/>
                <w:lang w:val="en-GB"/>
              </w:rPr>
              <w:t>-</w:t>
            </w:r>
            <w:r w:rsidR="008A4887" w:rsidRPr="006F0F22">
              <w:rPr>
                <w:sz w:val="20"/>
                <w:szCs w:val="20"/>
                <w:lang w:val="en-GB"/>
              </w:rPr>
              <w:t>financi</w:t>
            </w:r>
            <w:r w:rsidR="006A2905" w:rsidRPr="006F0F22">
              <w:rPr>
                <w:sz w:val="20"/>
                <w:szCs w:val="20"/>
                <w:lang w:val="en-GB"/>
              </w:rPr>
              <w:t>ers</w:t>
            </w:r>
            <w:r w:rsidR="00B6532E" w:rsidRPr="006F0F22">
              <w:rPr>
                <w:sz w:val="20"/>
                <w:szCs w:val="20"/>
                <w:lang w:val="en-GB"/>
              </w:rPr>
              <w:t>;</w:t>
            </w:r>
          </w:p>
          <w:p w:rsidR="006879C3" w:rsidRPr="006F0F22" w:rsidRDefault="006879C3" w:rsidP="00A82E10">
            <w:pPr>
              <w:ind w:left="-28" w:right="-28"/>
              <w:contextualSpacing/>
              <w:rPr>
                <w:color w:val="92D050"/>
                <w:sz w:val="20"/>
                <w:szCs w:val="20"/>
                <w:lang w:val="en-GB"/>
              </w:rPr>
            </w:pPr>
          </w:p>
          <w:p w:rsidR="001125BF" w:rsidRPr="006F0F22" w:rsidRDefault="006879C3" w:rsidP="00A82E10">
            <w:pPr>
              <w:ind w:left="-28" w:right="-28"/>
              <w:contextualSpacing/>
              <w:rPr>
                <w:sz w:val="20"/>
                <w:szCs w:val="20"/>
                <w:lang w:val="en-GB"/>
              </w:rPr>
            </w:pPr>
            <w:r w:rsidRPr="006F0F22">
              <w:rPr>
                <w:sz w:val="20"/>
                <w:szCs w:val="20"/>
                <w:lang w:val="en-GB"/>
              </w:rPr>
              <w:t>1.4</w:t>
            </w:r>
            <w:r w:rsidR="001125BF" w:rsidRPr="006F0F22">
              <w:rPr>
                <w:sz w:val="20"/>
                <w:szCs w:val="20"/>
                <w:lang w:val="en-GB"/>
              </w:rPr>
              <w:t xml:space="preserve"> </w:t>
            </w:r>
            <w:r w:rsidR="008A4887" w:rsidRPr="006F0F22">
              <w:rPr>
                <w:sz w:val="20"/>
                <w:szCs w:val="20"/>
                <w:u w:val="single"/>
                <w:lang w:val="en-GB"/>
              </w:rPr>
              <w:t>FBG</w:t>
            </w:r>
            <w:r w:rsidR="001125BF" w:rsidRPr="006F0F22">
              <w:rPr>
                <w:sz w:val="20"/>
                <w:szCs w:val="20"/>
                <w:u w:val="single"/>
                <w:lang w:val="en-GB"/>
              </w:rPr>
              <w:t>’s assets management capacity is optimized</w:t>
            </w:r>
            <w:r w:rsidR="00796422" w:rsidRPr="006F0F22">
              <w:rPr>
                <w:sz w:val="20"/>
                <w:szCs w:val="20"/>
                <w:lang w:val="en-GB"/>
              </w:rPr>
              <w:t xml:space="preserve"> </w:t>
            </w:r>
            <w:r w:rsidR="001125BF" w:rsidRPr="006F0F22">
              <w:rPr>
                <w:sz w:val="20"/>
                <w:szCs w:val="20"/>
                <w:lang w:val="en-GB"/>
              </w:rPr>
              <w:t xml:space="preserve">to reflect </w:t>
            </w:r>
            <w:r w:rsidR="002B7025" w:rsidRPr="006F0F22">
              <w:rPr>
                <w:sz w:val="20"/>
                <w:szCs w:val="20"/>
                <w:lang w:val="en-GB"/>
              </w:rPr>
              <w:t xml:space="preserve">the regular oversight of investment performance, as well as </w:t>
            </w:r>
            <w:r w:rsidR="001125BF" w:rsidRPr="006F0F22">
              <w:rPr>
                <w:sz w:val="20"/>
                <w:szCs w:val="20"/>
                <w:lang w:val="en-GB"/>
              </w:rPr>
              <w:t>a</w:t>
            </w:r>
            <w:r w:rsidR="00CF6BBF" w:rsidRPr="006F0F22">
              <w:rPr>
                <w:sz w:val="20"/>
                <w:szCs w:val="20"/>
                <w:lang w:val="en-GB"/>
              </w:rPr>
              <w:t>n appropriate</w:t>
            </w:r>
            <w:r w:rsidR="002B7025" w:rsidRPr="006F0F22">
              <w:rPr>
                <w:sz w:val="20"/>
                <w:szCs w:val="20"/>
                <w:lang w:val="en-GB"/>
              </w:rPr>
              <w:t xml:space="preserve"> </w:t>
            </w:r>
            <w:r w:rsidR="001125BF" w:rsidRPr="006F0F22">
              <w:rPr>
                <w:sz w:val="20"/>
                <w:szCs w:val="20"/>
                <w:lang w:val="en-GB"/>
              </w:rPr>
              <w:t>risk strategy</w:t>
            </w:r>
            <w:r w:rsidR="002B7025" w:rsidRPr="006F0F22">
              <w:rPr>
                <w:sz w:val="20"/>
                <w:szCs w:val="20"/>
                <w:lang w:val="en-GB"/>
              </w:rPr>
              <w:t xml:space="preserve"> and </w:t>
            </w:r>
            <w:r w:rsidR="001125BF" w:rsidRPr="006F0F22">
              <w:rPr>
                <w:sz w:val="20"/>
                <w:szCs w:val="20"/>
                <w:lang w:val="en-GB"/>
              </w:rPr>
              <w:t>balanced diversification of its investments</w:t>
            </w:r>
            <w:r w:rsidR="00796422" w:rsidRPr="006F0F22">
              <w:rPr>
                <w:sz w:val="20"/>
                <w:szCs w:val="20"/>
                <w:lang w:val="en-GB"/>
              </w:rPr>
              <w:t xml:space="preserve"> </w:t>
            </w:r>
            <w:r w:rsidR="001125BF" w:rsidRPr="006F0F22">
              <w:rPr>
                <w:sz w:val="20"/>
                <w:szCs w:val="20"/>
                <w:lang w:val="en-GB"/>
              </w:rPr>
              <w:t>portfolio</w:t>
            </w:r>
            <w:r w:rsidR="00122CB5" w:rsidRPr="006F0F22">
              <w:rPr>
                <w:sz w:val="20"/>
                <w:szCs w:val="20"/>
                <w:lang w:val="en-GB"/>
              </w:rPr>
              <w:t xml:space="preserve">, </w:t>
            </w:r>
            <w:r w:rsidR="00122CB5" w:rsidRPr="006F0F22">
              <w:rPr>
                <w:sz w:val="20"/>
                <w:szCs w:val="20"/>
                <w:lang w:val="en-GB"/>
              </w:rPr>
              <w:lastRenderedPageBreak/>
              <w:t>ensuring the latter is socially and environmentally responsible</w:t>
            </w:r>
            <w:r w:rsidR="001125BF" w:rsidRPr="006F0F22">
              <w:rPr>
                <w:sz w:val="20"/>
                <w:szCs w:val="20"/>
                <w:lang w:val="en-GB"/>
              </w:rPr>
              <w:t xml:space="preserve"> </w:t>
            </w:r>
            <w:r w:rsidR="002B7025" w:rsidRPr="006F0F22">
              <w:rPr>
                <w:sz w:val="20"/>
                <w:szCs w:val="20"/>
                <w:lang w:val="en-GB"/>
              </w:rPr>
              <w:t>(</w:t>
            </w:r>
            <w:r w:rsidR="00122CB5" w:rsidRPr="006F0F22">
              <w:rPr>
                <w:sz w:val="20"/>
                <w:szCs w:val="20"/>
                <w:lang w:val="en-GB"/>
              </w:rPr>
              <w:t xml:space="preserve">details </w:t>
            </w:r>
            <w:r w:rsidR="002B7025" w:rsidRPr="006F0F22">
              <w:rPr>
                <w:sz w:val="20"/>
                <w:szCs w:val="20"/>
                <w:lang w:val="en-GB"/>
              </w:rPr>
              <w:t>to be defined by the FBG board)</w:t>
            </w:r>
            <w:r w:rsidR="00122CB5" w:rsidRPr="006F0F22">
              <w:rPr>
                <w:sz w:val="20"/>
                <w:szCs w:val="20"/>
                <w:lang w:val="en-GB"/>
              </w:rPr>
              <w:t>;</w:t>
            </w:r>
          </w:p>
          <w:p w:rsidR="00717C7E" w:rsidRPr="006F0F22" w:rsidRDefault="00717C7E" w:rsidP="00A82E10">
            <w:pPr>
              <w:ind w:left="-28" w:right="-28"/>
              <w:contextualSpacing/>
              <w:rPr>
                <w:color w:val="92D050"/>
                <w:sz w:val="20"/>
                <w:szCs w:val="20"/>
                <w:lang w:val="en-GB"/>
              </w:rPr>
            </w:pPr>
          </w:p>
          <w:p w:rsidR="007D08CC" w:rsidRPr="006F0F22" w:rsidRDefault="001125BF" w:rsidP="00A82E10">
            <w:pPr>
              <w:ind w:left="-28" w:right="-28"/>
              <w:contextualSpacing/>
              <w:rPr>
                <w:sz w:val="20"/>
                <w:szCs w:val="20"/>
                <w:lang w:val="en-GB"/>
              </w:rPr>
            </w:pPr>
            <w:r w:rsidRPr="006F0F22">
              <w:rPr>
                <w:sz w:val="20"/>
                <w:szCs w:val="20"/>
                <w:lang w:val="en-GB"/>
              </w:rPr>
              <w:t>1.</w:t>
            </w:r>
            <w:r w:rsidR="00B6532E" w:rsidRPr="006F0F22">
              <w:rPr>
                <w:sz w:val="20"/>
                <w:szCs w:val="20"/>
                <w:lang w:val="en-GB"/>
              </w:rPr>
              <w:t>5</w:t>
            </w:r>
            <w:r w:rsidR="00DD313C" w:rsidRPr="006F0F22">
              <w:rPr>
                <w:sz w:val="20"/>
                <w:szCs w:val="20"/>
                <w:lang w:val="en-GB"/>
              </w:rPr>
              <w:t xml:space="preserve"> </w:t>
            </w:r>
            <w:r w:rsidR="006A2C00" w:rsidRPr="006F0F22">
              <w:rPr>
                <w:sz w:val="20"/>
                <w:szCs w:val="20"/>
                <w:u w:val="single"/>
                <w:lang w:val="en-GB"/>
              </w:rPr>
              <w:t>Comprehensive fundraising/ capitalisation strategy in place</w:t>
            </w:r>
            <w:r w:rsidR="00687261" w:rsidRPr="006F0F22">
              <w:rPr>
                <w:sz w:val="20"/>
                <w:szCs w:val="20"/>
                <w:lang w:val="en-GB"/>
              </w:rPr>
              <w:t xml:space="preserve"> involving FBG and other key stakeholders, and</w:t>
            </w:r>
            <w:r w:rsidR="006A2C00" w:rsidRPr="006F0F22">
              <w:rPr>
                <w:sz w:val="20"/>
                <w:szCs w:val="20"/>
                <w:lang w:val="en-GB"/>
              </w:rPr>
              <w:t xml:space="preserve"> inc</w:t>
            </w:r>
            <w:r w:rsidR="00687261" w:rsidRPr="006F0F22">
              <w:rPr>
                <w:sz w:val="20"/>
                <w:szCs w:val="20"/>
                <w:lang w:val="en-GB"/>
              </w:rPr>
              <w:t>l</w:t>
            </w:r>
            <w:r w:rsidR="006A2C00" w:rsidRPr="006F0F22">
              <w:rPr>
                <w:sz w:val="20"/>
                <w:szCs w:val="20"/>
                <w:lang w:val="en-GB"/>
              </w:rPr>
              <w:t xml:space="preserve">uding </w:t>
            </w:r>
            <w:r w:rsidR="006879C3" w:rsidRPr="006F0F22">
              <w:rPr>
                <w:i/>
                <w:sz w:val="20"/>
                <w:szCs w:val="20"/>
                <w:lang w:val="en-GB"/>
              </w:rPr>
              <w:t xml:space="preserve">inter alia </w:t>
            </w:r>
            <w:r w:rsidR="00796422" w:rsidRPr="006F0F22">
              <w:rPr>
                <w:sz w:val="20"/>
                <w:szCs w:val="20"/>
                <w:lang w:val="en-GB"/>
              </w:rPr>
              <w:t>(</w:t>
            </w:r>
            <w:r w:rsidR="00CE04DA" w:rsidRPr="006F0F22">
              <w:rPr>
                <w:sz w:val="20"/>
                <w:szCs w:val="20"/>
                <w:lang w:val="en-GB"/>
              </w:rPr>
              <w:t>i) finely-tuned communication</w:t>
            </w:r>
            <w:r w:rsidR="006879C3" w:rsidRPr="006F0F22">
              <w:rPr>
                <w:sz w:val="20"/>
                <w:szCs w:val="20"/>
                <w:lang w:val="en-GB"/>
              </w:rPr>
              <w:t>s/ advocacy</w:t>
            </w:r>
            <w:r w:rsidR="00CE04DA" w:rsidRPr="006F0F22">
              <w:rPr>
                <w:sz w:val="20"/>
                <w:szCs w:val="20"/>
                <w:lang w:val="en-GB"/>
              </w:rPr>
              <w:t xml:space="preserve"> plan</w:t>
            </w:r>
            <w:r w:rsidR="008560E4" w:rsidRPr="006F0F22">
              <w:rPr>
                <w:sz w:val="20"/>
                <w:szCs w:val="20"/>
                <w:lang w:val="en-GB"/>
              </w:rPr>
              <w:t>s</w:t>
            </w:r>
            <w:r w:rsidR="00CE04DA" w:rsidRPr="006F0F22">
              <w:rPr>
                <w:sz w:val="20"/>
                <w:szCs w:val="20"/>
                <w:lang w:val="en-GB"/>
              </w:rPr>
              <w:t xml:space="preserve">; (ii) annual donor meetings informed on progress and operational efficiencies of </w:t>
            </w:r>
            <w:r w:rsidR="008A4887" w:rsidRPr="006F0F22">
              <w:rPr>
                <w:sz w:val="20"/>
                <w:szCs w:val="20"/>
                <w:lang w:val="en-GB"/>
              </w:rPr>
              <w:t>FBG</w:t>
            </w:r>
            <w:r w:rsidR="00CE04DA" w:rsidRPr="006F0F22">
              <w:rPr>
                <w:sz w:val="20"/>
                <w:szCs w:val="20"/>
                <w:lang w:val="en-GB"/>
              </w:rPr>
              <w:t>; (iii</w:t>
            </w:r>
            <w:r w:rsidR="00F367E2" w:rsidRPr="006F0F22">
              <w:rPr>
                <w:sz w:val="20"/>
                <w:szCs w:val="20"/>
                <w:lang w:val="en-GB"/>
              </w:rPr>
              <w:t>)</w:t>
            </w:r>
            <w:r w:rsidR="00CE04DA" w:rsidRPr="006F0F22">
              <w:rPr>
                <w:sz w:val="20"/>
                <w:szCs w:val="20"/>
                <w:lang w:val="en-GB"/>
              </w:rPr>
              <w:t xml:space="preserve"> targeted </w:t>
            </w:r>
            <w:r w:rsidR="00F962E3" w:rsidRPr="006F0F22">
              <w:rPr>
                <w:sz w:val="20"/>
                <w:szCs w:val="20"/>
                <w:lang w:val="en-GB"/>
              </w:rPr>
              <w:t xml:space="preserve">in-depth </w:t>
            </w:r>
            <w:r w:rsidR="00CE04DA" w:rsidRPr="006F0F22">
              <w:rPr>
                <w:sz w:val="20"/>
                <w:szCs w:val="20"/>
                <w:lang w:val="en-GB"/>
              </w:rPr>
              <w:t xml:space="preserve">assessments of </w:t>
            </w:r>
            <w:r w:rsidR="00DA6C8A" w:rsidRPr="006F0F22">
              <w:rPr>
                <w:sz w:val="20"/>
                <w:szCs w:val="20"/>
                <w:lang w:val="en-GB"/>
              </w:rPr>
              <w:t>potential revenue generation mechanism</w:t>
            </w:r>
            <w:r w:rsidR="00CE04DA" w:rsidRPr="006F0F22">
              <w:rPr>
                <w:sz w:val="20"/>
                <w:szCs w:val="20"/>
                <w:lang w:val="en-GB"/>
              </w:rPr>
              <w:t xml:space="preserve">s </w:t>
            </w:r>
            <w:r w:rsidR="0074332D" w:rsidRPr="006F0F22">
              <w:rPr>
                <w:sz w:val="20"/>
                <w:szCs w:val="20"/>
                <w:lang w:val="en-GB"/>
              </w:rPr>
              <w:t>(e. g. compensation schemes from mining and timber concessions, fines</w:t>
            </w:r>
            <w:r w:rsidR="008B2ED5" w:rsidRPr="006F0F22">
              <w:rPr>
                <w:sz w:val="20"/>
                <w:szCs w:val="20"/>
                <w:lang w:val="en-GB"/>
              </w:rPr>
              <w:t>,</w:t>
            </w:r>
            <w:r w:rsidR="0074332D" w:rsidRPr="006F0F22">
              <w:rPr>
                <w:sz w:val="20"/>
                <w:szCs w:val="20"/>
                <w:lang w:val="en-GB"/>
              </w:rPr>
              <w:t xml:space="preserve"> tourism fees</w:t>
            </w:r>
            <w:r w:rsidR="00AF4104" w:rsidRPr="006F0F22">
              <w:rPr>
                <w:sz w:val="20"/>
                <w:szCs w:val="20"/>
                <w:lang w:val="en-GB"/>
              </w:rPr>
              <w:t>, REDD</w:t>
            </w:r>
            <w:r w:rsidR="0074332D" w:rsidRPr="006F0F22">
              <w:rPr>
                <w:sz w:val="20"/>
                <w:szCs w:val="20"/>
                <w:lang w:val="en-GB"/>
              </w:rPr>
              <w:t xml:space="preserve">) </w:t>
            </w:r>
            <w:r w:rsidR="00F962E3" w:rsidRPr="006F0F22">
              <w:rPr>
                <w:sz w:val="20"/>
                <w:szCs w:val="20"/>
                <w:lang w:val="en-GB"/>
              </w:rPr>
              <w:t xml:space="preserve">and related </w:t>
            </w:r>
            <w:r w:rsidR="0074332D" w:rsidRPr="006F0F22">
              <w:rPr>
                <w:sz w:val="20"/>
                <w:szCs w:val="20"/>
                <w:lang w:val="en-GB"/>
              </w:rPr>
              <w:t>enabling/ institutional needs</w:t>
            </w:r>
            <w:r w:rsidR="00072A20" w:rsidRPr="006F0F22">
              <w:rPr>
                <w:sz w:val="20"/>
                <w:szCs w:val="20"/>
                <w:lang w:val="en-GB"/>
              </w:rPr>
              <w:t>.</w:t>
            </w:r>
          </w:p>
        </w:tc>
        <w:tc>
          <w:tcPr>
            <w:tcW w:w="313" w:type="pct"/>
            <w:shd w:val="clear" w:color="auto" w:fill="FFFFFF"/>
          </w:tcPr>
          <w:p w:rsidR="00187950" w:rsidRPr="001D5009" w:rsidRDefault="00187950" w:rsidP="00187950">
            <w:pPr>
              <w:ind w:left="0"/>
              <w:contextualSpacing/>
              <w:rPr>
                <w:sz w:val="20"/>
                <w:szCs w:val="20"/>
                <w:lang w:val="en-GB"/>
              </w:rPr>
            </w:pPr>
            <w:r w:rsidRPr="001D5009">
              <w:rPr>
                <w:sz w:val="20"/>
                <w:szCs w:val="20"/>
                <w:lang w:val="en-GB"/>
              </w:rPr>
              <w:lastRenderedPageBreak/>
              <w:t>GEF-TF</w:t>
            </w:r>
          </w:p>
        </w:tc>
        <w:tc>
          <w:tcPr>
            <w:tcW w:w="438" w:type="pct"/>
            <w:shd w:val="clear" w:color="auto" w:fill="FFFFFF"/>
          </w:tcPr>
          <w:p w:rsidR="00187950" w:rsidRPr="001D5009" w:rsidRDefault="00D235B4" w:rsidP="001D5009">
            <w:pPr>
              <w:ind w:left="-57" w:right="-57"/>
              <w:contextualSpacing/>
              <w:jc w:val="right"/>
              <w:rPr>
                <w:sz w:val="20"/>
                <w:szCs w:val="20"/>
                <w:lang w:val="en-GB"/>
              </w:rPr>
            </w:pPr>
            <w:r w:rsidRPr="001D5009">
              <w:rPr>
                <w:sz w:val="20"/>
                <w:szCs w:val="20"/>
                <w:lang w:val="en-GB"/>
              </w:rPr>
              <w:t>1,300,000</w:t>
            </w:r>
          </w:p>
        </w:tc>
        <w:tc>
          <w:tcPr>
            <w:tcW w:w="493" w:type="pct"/>
            <w:shd w:val="clear" w:color="auto" w:fill="auto"/>
          </w:tcPr>
          <w:p w:rsidR="00187950" w:rsidRPr="001D5009" w:rsidRDefault="00C6404A" w:rsidP="008A12E7">
            <w:pPr>
              <w:pStyle w:val="CommentText"/>
              <w:ind w:left="-57" w:right="-57"/>
              <w:jc w:val="right"/>
              <w:rPr>
                <w:lang w:val="en-GB"/>
              </w:rPr>
            </w:pPr>
            <w:r w:rsidRPr="001D5009">
              <w:rPr>
                <w:lang w:val="en-GB"/>
              </w:rPr>
              <w:t>8,1</w:t>
            </w:r>
            <w:r w:rsidR="007F7C04" w:rsidRPr="001D5009">
              <w:rPr>
                <w:lang w:val="en-GB"/>
              </w:rPr>
              <w:t>90,000</w:t>
            </w:r>
          </w:p>
        </w:tc>
      </w:tr>
      <w:tr w:rsidR="00CC6F03" w:rsidRPr="00A030F3" w:rsidTr="00A82E10">
        <w:tc>
          <w:tcPr>
            <w:tcW w:w="685" w:type="pct"/>
            <w:shd w:val="clear" w:color="auto" w:fill="FFFFFF"/>
          </w:tcPr>
          <w:p w:rsidR="005F155B" w:rsidRPr="001D5009" w:rsidRDefault="00187950" w:rsidP="005F155B">
            <w:pPr>
              <w:ind w:left="0"/>
              <w:contextualSpacing/>
              <w:rPr>
                <w:sz w:val="20"/>
                <w:szCs w:val="20"/>
                <w:lang w:val="en-GB"/>
              </w:rPr>
            </w:pPr>
            <w:r w:rsidRPr="001D5009">
              <w:rPr>
                <w:sz w:val="20"/>
                <w:szCs w:val="20"/>
                <w:lang w:val="en-GB"/>
              </w:rPr>
              <w:lastRenderedPageBreak/>
              <w:t xml:space="preserve">2. </w:t>
            </w:r>
            <w:bookmarkStart w:id="3" w:name="OLE_LINK7"/>
            <w:r w:rsidR="00E733B4" w:rsidRPr="001D5009">
              <w:rPr>
                <w:sz w:val="20"/>
                <w:szCs w:val="20"/>
                <w:lang w:val="en-GB"/>
              </w:rPr>
              <w:t xml:space="preserve">PA and </w:t>
            </w:r>
            <w:r w:rsidR="00471E1F" w:rsidRPr="001D5009">
              <w:rPr>
                <w:sz w:val="20"/>
                <w:szCs w:val="20"/>
                <w:lang w:val="en-GB"/>
              </w:rPr>
              <w:t xml:space="preserve">buffer </w:t>
            </w:r>
            <w:r w:rsidR="00E733B4" w:rsidRPr="001D5009">
              <w:rPr>
                <w:sz w:val="20"/>
                <w:szCs w:val="20"/>
                <w:lang w:val="en-GB"/>
              </w:rPr>
              <w:t>zone management in Cantanhez NP</w:t>
            </w:r>
            <w:bookmarkEnd w:id="3"/>
          </w:p>
        </w:tc>
        <w:tc>
          <w:tcPr>
            <w:tcW w:w="254" w:type="pct"/>
            <w:shd w:val="clear" w:color="auto" w:fill="FFFFFF"/>
          </w:tcPr>
          <w:p w:rsidR="00187950" w:rsidRPr="00A030F3" w:rsidRDefault="00187950" w:rsidP="00187950">
            <w:pPr>
              <w:ind w:left="0"/>
              <w:contextualSpacing/>
              <w:rPr>
                <w:sz w:val="20"/>
                <w:szCs w:val="20"/>
                <w:lang w:val="en-GB"/>
              </w:rPr>
            </w:pPr>
            <w:r w:rsidRPr="00A030F3">
              <w:rPr>
                <w:sz w:val="20"/>
                <w:szCs w:val="20"/>
                <w:lang w:val="en-GB"/>
              </w:rPr>
              <w:t>TA and Inv.</w:t>
            </w:r>
          </w:p>
        </w:tc>
        <w:tc>
          <w:tcPr>
            <w:tcW w:w="1190" w:type="pct"/>
            <w:shd w:val="clear" w:color="auto" w:fill="FFFFFF"/>
          </w:tcPr>
          <w:p w:rsidR="00E733B4" w:rsidRPr="006F0F22" w:rsidRDefault="00326CAD" w:rsidP="00187950">
            <w:pPr>
              <w:ind w:left="0"/>
              <w:contextualSpacing/>
              <w:rPr>
                <w:sz w:val="20"/>
                <w:szCs w:val="20"/>
                <w:lang w:val="en-GB"/>
              </w:rPr>
            </w:pPr>
            <w:r w:rsidRPr="006F0F22">
              <w:rPr>
                <w:sz w:val="20"/>
                <w:szCs w:val="20"/>
                <w:lang w:val="en-GB"/>
              </w:rPr>
              <w:t xml:space="preserve">2.1 </w:t>
            </w:r>
            <w:r w:rsidR="00E733B4" w:rsidRPr="006F0F22">
              <w:rPr>
                <w:sz w:val="20"/>
                <w:szCs w:val="20"/>
                <w:lang w:val="en-GB"/>
              </w:rPr>
              <w:t xml:space="preserve">Collaborative </w:t>
            </w:r>
            <w:r w:rsidR="00E05BB0" w:rsidRPr="006F0F22">
              <w:rPr>
                <w:sz w:val="20"/>
                <w:szCs w:val="20"/>
                <w:lang w:val="en-GB"/>
              </w:rPr>
              <w:t xml:space="preserve">cost-effective </w:t>
            </w:r>
            <w:r w:rsidR="00E733B4" w:rsidRPr="006F0F22">
              <w:rPr>
                <w:sz w:val="20"/>
                <w:szCs w:val="20"/>
                <w:lang w:val="en-GB"/>
              </w:rPr>
              <w:t xml:space="preserve">management </w:t>
            </w:r>
            <w:r w:rsidR="00187950" w:rsidRPr="006F0F22">
              <w:rPr>
                <w:sz w:val="20"/>
                <w:szCs w:val="20"/>
                <w:u w:val="single"/>
                <w:lang w:val="en-GB"/>
              </w:rPr>
              <w:t>of Cantanhez</w:t>
            </w:r>
            <w:r w:rsidR="00A12E7C" w:rsidRPr="006F0F22">
              <w:rPr>
                <w:sz w:val="20"/>
                <w:szCs w:val="20"/>
                <w:u w:val="single"/>
                <w:lang w:val="en-GB"/>
              </w:rPr>
              <w:t xml:space="preserve"> </w:t>
            </w:r>
            <w:r w:rsidR="00187950" w:rsidRPr="006F0F22">
              <w:rPr>
                <w:sz w:val="20"/>
                <w:szCs w:val="20"/>
                <w:u w:val="single"/>
                <w:lang w:val="en-GB"/>
              </w:rPr>
              <w:t xml:space="preserve">NP </w:t>
            </w:r>
            <w:r w:rsidR="00761CF9" w:rsidRPr="006F0F22">
              <w:rPr>
                <w:sz w:val="20"/>
                <w:szCs w:val="20"/>
                <w:lang w:val="en-GB"/>
              </w:rPr>
              <w:t xml:space="preserve">and related buffer </w:t>
            </w:r>
            <w:r w:rsidR="00BA229A" w:rsidRPr="006F0F22">
              <w:rPr>
                <w:sz w:val="20"/>
                <w:szCs w:val="20"/>
                <w:lang w:val="en-GB"/>
              </w:rPr>
              <w:t>z</w:t>
            </w:r>
            <w:r w:rsidR="00761CF9" w:rsidRPr="006F0F22">
              <w:rPr>
                <w:sz w:val="20"/>
                <w:szCs w:val="20"/>
                <w:lang w:val="en-GB"/>
              </w:rPr>
              <w:t xml:space="preserve">ones </w:t>
            </w:r>
            <w:r w:rsidR="00E05BB0" w:rsidRPr="006F0F22">
              <w:rPr>
                <w:sz w:val="20"/>
                <w:szCs w:val="20"/>
                <w:lang w:val="en-GB"/>
              </w:rPr>
              <w:t xml:space="preserve">and forest areas </w:t>
            </w:r>
            <w:r w:rsidR="00E733B4" w:rsidRPr="006F0F22">
              <w:rPr>
                <w:sz w:val="20"/>
                <w:szCs w:val="20"/>
                <w:lang w:val="en-GB"/>
              </w:rPr>
              <w:t>improves management effectiveness at least 50% over baseline levels as measured by th</w:t>
            </w:r>
            <w:r w:rsidR="00BD4FB6" w:rsidRPr="006F0F22">
              <w:rPr>
                <w:sz w:val="20"/>
                <w:szCs w:val="20"/>
                <w:lang w:val="en-GB"/>
              </w:rPr>
              <w:t>e METT (baseline and target to be confirmed during</w:t>
            </w:r>
            <w:r w:rsidR="00E733B4" w:rsidRPr="006F0F22">
              <w:rPr>
                <w:sz w:val="20"/>
                <w:szCs w:val="20"/>
                <w:lang w:val="en-GB"/>
              </w:rPr>
              <w:t xml:space="preserve"> PPG</w:t>
            </w:r>
            <w:r w:rsidR="00C0732B" w:rsidRPr="006F0F22">
              <w:rPr>
                <w:rStyle w:val="FootnoteReference"/>
                <w:sz w:val="20"/>
                <w:szCs w:val="20"/>
                <w:lang w:val="en-GB"/>
              </w:rPr>
              <w:footnoteReference w:id="4"/>
            </w:r>
            <w:r w:rsidR="00E733B4" w:rsidRPr="006F0F22">
              <w:rPr>
                <w:sz w:val="20"/>
                <w:szCs w:val="20"/>
                <w:lang w:val="en-GB"/>
              </w:rPr>
              <w:t>)</w:t>
            </w:r>
            <w:r w:rsidR="009E653A" w:rsidRPr="006F0F22">
              <w:rPr>
                <w:sz w:val="20"/>
                <w:szCs w:val="20"/>
                <w:lang w:val="en-GB"/>
              </w:rPr>
              <w:t>;</w:t>
            </w:r>
          </w:p>
          <w:p w:rsidR="00E733B4" w:rsidRPr="006F0F22" w:rsidRDefault="00E733B4" w:rsidP="00187950">
            <w:pPr>
              <w:ind w:left="0"/>
              <w:contextualSpacing/>
              <w:rPr>
                <w:color w:val="92D050"/>
                <w:sz w:val="20"/>
                <w:szCs w:val="20"/>
                <w:lang w:val="en-GB"/>
              </w:rPr>
            </w:pPr>
          </w:p>
          <w:p w:rsidR="00EE3464" w:rsidRPr="006F0F22" w:rsidRDefault="00326CAD" w:rsidP="00EE3464">
            <w:pPr>
              <w:ind w:left="0"/>
              <w:contextualSpacing/>
              <w:rPr>
                <w:sz w:val="20"/>
                <w:szCs w:val="20"/>
                <w:lang w:val="en-GB"/>
              </w:rPr>
            </w:pPr>
            <w:r w:rsidRPr="006F0F22">
              <w:rPr>
                <w:sz w:val="20"/>
                <w:szCs w:val="20"/>
                <w:lang w:val="en-GB"/>
              </w:rPr>
              <w:t xml:space="preserve">2.2 </w:t>
            </w:r>
            <w:r w:rsidR="00E733B4" w:rsidRPr="006F0F22">
              <w:rPr>
                <w:sz w:val="20"/>
                <w:szCs w:val="20"/>
                <w:lang w:val="en-GB"/>
              </w:rPr>
              <w:t>Improved management effectiv</w:t>
            </w:r>
            <w:r w:rsidR="00733790" w:rsidRPr="006F0F22">
              <w:rPr>
                <w:sz w:val="20"/>
                <w:szCs w:val="20"/>
                <w:lang w:val="en-GB"/>
              </w:rPr>
              <w:t>eness reduces threats</w:t>
            </w:r>
            <w:r w:rsidR="00E733B4" w:rsidRPr="006F0F22">
              <w:rPr>
                <w:sz w:val="20"/>
                <w:szCs w:val="20"/>
                <w:lang w:val="en-GB"/>
              </w:rPr>
              <w:t xml:space="preserve"> as measured by</w:t>
            </w:r>
            <w:r w:rsidR="009E653A" w:rsidRPr="006F0F22">
              <w:rPr>
                <w:sz w:val="20"/>
                <w:szCs w:val="20"/>
                <w:lang w:val="en-GB"/>
              </w:rPr>
              <w:t xml:space="preserve">: (i) </w:t>
            </w:r>
            <w:r w:rsidR="00E733B4" w:rsidRPr="006F0F22">
              <w:rPr>
                <w:sz w:val="20"/>
                <w:szCs w:val="20"/>
                <w:lang w:val="en-GB"/>
              </w:rPr>
              <w:t>the reduction in the illegal utilisation of woody vegetation</w:t>
            </w:r>
            <w:r w:rsidR="00F65403" w:rsidRPr="006F0F22">
              <w:rPr>
                <w:sz w:val="20"/>
                <w:szCs w:val="20"/>
                <w:lang w:val="en-GB"/>
              </w:rPr>
              <w:t xml:space="preserve"> and deforestation rate</w:t>
            </w:r>
            <w:r w:rsidR="006A1B3B" w:rsidRPr="006F0F22">
              <w:rPr>
                <w:sz w:val="20"/>
                <w:szCs w:val="20"/>
                <w:lang w:val="en-GB"/>
              </w:rPr>
              <w:t>s</w:t>
            </w:r>
            <w:r w:rsidR="009E653A" w:rsidRPr="006F0F22">
              <w:rPr>
                <w:sz w:val="20"/>
                <w:szCs w:val="20"/>
                <w:lang w:val="en-GB"/>
              </w:rPr>
              <w:t xml:space="preserve">; (ii) </w:t>
            </w:r>
            <w:r w:rsidR="00E733B4" w:rsidRPr="006F0F22">
              <w:rPr>
                <w:sz w:val="20"/>
                <w:szCs w:val="20"/>
                <w:lang w:val="en-GB"/>
              </w:rPr>
              <w:t>the recorded levels of poaching</w:t>
            </w:r>
            <w:r w:rsidR="00EE3464" w:rsidRPr="006F0F22">
              <w:rPr>
                <w:sz w:val="20"/>
                <w:szCs w:val="20"/>
                <w:lang w:val="en-GB"/>
              </w:rPr>
              <w:t xml:space="preserve">; (baselines and targets to be determined during </w:t>
            </w:r>
            <w:r w:rsidR="00BD4FB6" w:rsidRPr="006F0F22">
              <w:rPr>
                <w:sz w:val="20"/>
                <w:szCs w:val="20"/>
                <w:lang w:val="en-GB"/>
              </w:rPr>
              <w:t>PPG</w:t>
            </w:r>
            <w:r w:rsidR="00EE3464" w:rsidRPr="006F0F22">
              <w:rPr>
                <w:sz w:val="20"/>
                <w:szCs w:val="20"/>
                <w:lang w:val="en-GB"/>
              </w:rPr>
              <w:t>)</w:t>
            </w:r>
            <w:r w:rsidR="009E653A" w:rsidRPr="006F0F22">
              <w:rPr>
                <w:sz w:val="20"/>
                <w:szCs w:val="20"/>
                <w:lang w:val="en-GB"/>
              </w:rPr>
              <w:t>;</w:t>
            </w:r>
          </w:p>
          <w:p w:rsidR="00EE3464" w:rsidRPr="006F0F22" w:rsidRDefault="00EE3464" w:rsidP="00906267">
            <w:pPr>
              <w:tabs>
                <w:tab w:val="left" w:pos="177"/>
              </w:tabs>
              <w:ind w:left="0"/>
              <w:contextualSpacing/>
              <w:rPr>
                <w:color w:val="92D050"/>
                <w:sz w:val="20"/>
                <w:szCs w:val="20"/>
                <w:lang w:val="en-GB"/>
              </w:rPr>
            </w:pPr>
          </w:p>
          <w:p w:rsidR="00187950" w:rsidRPr="006F0F22" w:rsidRDefault="00EE3464" w:rsidP="007D4FC6">
            <w:pPr>
              <w:tabs>
                <w:tab w:val="left" w:pos="177"/>
              </w:tabs>
              <w:ind w:left="0"/>
              <w:contextualSpacing/>
              <w:rPr>
                <w:sz w:val="20"/>
                <w:szCs w:val="20"/>
                <w:lang w:val="en-GB"/>
              </w:rPr>
            </w:pPr>
            <w:r w:rsidRPr="006F0F22">
              <w:rPr>
                <w:sz w:val="20"/>
                <w:szCs w:val="20"/>
                <w:lang w:val="en-GB"/>
              </w:rPr>
              <w:t xml:space="preserve">2.3 </w:t>
            </w:r>
            <w:r w:rsidR="00E733B4" w:rsidRPr="006F0F22">
              <w:rPr>
                <w:sz w:val="20"/>
                <w:szCs w:val="20"/>
                <w:lang w:val="en-GB"/>
              </w:rPr>
              <w:t xml:space="preserve">Collectively this </w:t>
            </w:r>
            <w:r w:rsidR="00002236" w:rsidRPr="006F0F22">
              <w:rPr>
                <w:sz w:val="20"/>
                <w:szCs w:val="20"/>
                <w:lang w:val="en-GB"/>
              </w:rPr>
              <w:t xml:space="preserve">reduces </w:t>
            </w:r>
            <w:r w:rsidR="00A7573D" w:rsidRPr="006F0F22">
              <w:rPr>
                <w:sz w:val="20"/>
                <w:szCs w:val="20"/>
                <w:lang w:val="en-GB"/>
              </w:rPr>
              <w:t xml:space="preserve">the loss of </w:t>
            </w:r>
            <w:r w:rsidR="00A2264C" w:rsidRPr="006F0F22">
              <w:rPr>
                <w:sz w:val="20"/>
                <w:szCs w:val="20"/>
                <w:lang w:val="en-GB"/>
              </w:rPr>
              <w:t xml:space="preserve">critically threatened </w:t>
            </w:r>
            <w:r w:rsidR="0094644A" w:rsidRPr="006F0F22">
              <w:rPr>
                <w:sz w:val="20"/>
                <w:szCs w:val="20"/>
                <w:lang w:val="en-GB"/>
              </w:rPr>
              <w:t xml:space="preserve">W-African </w:t>
            </w:r>
            <w:r w:rsidR="00A7573D" w:rsidRPr="006F0F22">
              <w:rPr>
                <w:sz w:val="20"/>
                <w:szCs w:val="20"/>
                <w:lang w:val="en-GB"/>
              </w:rPr>
              <w:t xml:space="preserve">forest </w:t>
            </w:r>
            <w:r w:rsidR="00A2264C" w:rsidRPr="006F0F22">
              <w:rPr>
                <w:sz w:val="20"/>
                <w:szCs w:val="20"/>
                <w:lang w:val="en-GB"/>
              </w:rPr>
              <w:t xml:space="preserve">habitats </w:t>
            </w:r>
            <w:r w:rsidR="0094644A" w:rsidRPr="006F0F22">
              <w:rPr>
                <w:sz w:val="20"/>
                <w:szCs w:val="20"/>
                <w:lang w:val="en-GB"/>
              </w:rPr>
              <w:t xml:space="preserve">across </w:t>
            </w:r>
            <w:r w:rsidR="00173242" w:rsidRPr="006F0F22">
              <w:rPr>
                <w:sz w:val="20"/>
                <w:szCs w:val="20"/>
                <w:lang w:val="en-GB"/>
              </w:rPr>
              <w:t>c. 106,000</w:t>
            </w:r>
            <w:r w:rsidR="00E733B4" w:rsidRPr="006F0F22">
              <w:rPr>
                <w:sz w:val="20"/>
                <w:szCs w:val="20"/>
                <w:lang w:val="en-GB"/>
              </w:rPr>
              <w:t xml:space="preserve"> ha</w:t>
            </w:r>
            <w:r w:rsidR="00B956D6" w:rsidRPr="006F0F22">
              <w:rPr>
                <w:rStyle w:val="FootnoteReference"/>
                <w:sz w:val="20"/>
                <w:szCs w:val="20"/>
                <w:lang w:val="en-GB"/>
              </w:rPr>
              <w:footnoteReference w:id="5"/>
            </w:r>
            <w:r w:rsidR="00002236" w:rsidRPr="006F0F22">
              <w:rPr>
                <w:sz w:val="20"/>
                <w:szCs w:val="20"/>
                <w:lang w:val="en-GB"/>
              </w:rPr>
              <w:t xml:space="preserve"> of PAs and </w:t>
            </w:r>
            <w:r w:rsidR="007D4FC6" w:rsidRPr="006F0F22">
              <w:rPr>
                <w:sz w:val="20"/>
                <w:szCs w:val="20"/>
                <w:lang w:val="en-GB"/>
              </w:rPr>
              <w:t xml:space="preserve">surrounding </w:t>
            </w:r>
            <w:r w:rsidR="00002236" w:rsidRPr="006F0F22">
              <w:rPr>
                <w:sz w:val="20"/>
                <w:szCs w:val="20"/>
                <w:lang w:val="en-GB"/>
              </w:rPr>
              <w:t xml:space="preserve">zones, and delivers improved protection to </w:t>
            </w:r>
            <w:r w:rsidR="00BA229A" w:rsidRPr="006F0F22">
              <w:rPr>
                <w:sz w:val="20"/>
                <w:szCs w:val="20"/>
                <w:lang w:val="en-GB"/>
              </w:rPr>
              <w:t xml:space="preserve">globally significant species </w:t>
            </w:r>
            <w:r w:rsidR="00924269" w:rsidRPr="006F0F22">
              <w:rPr>
                <w:sz w:val="20"/>
                <w:szCs w:val="20"/>
                <w:lang w:val="en-GB"/>
              </w:rPr>
              <w:t xml:space="preserve">and other key biodiversity resources </w:t>
            </w:r>
            <w:r w:rsidR="00BA229A" w:rsidRPr="006F0F22">
              <w:rPr>
                <w:sz w:val="20"/>
                <w:szCs w:val="20"/>
                <w:lang w:val="en-GB"/>
              </w:rPr>
              <w:t xml:space="preserve">in the forest belt biome including amongst others: </w:t>
            </w:r>
            <w:r w:rsidR="007A4ECC" w:rsidRPr="006F0F22">
              <w:rPr>
                <w:sz w:val="20"/>
                <w:szCs w:val="20"/>
                <w:lang w:val="en-GB"/>
              </w:rPr>
              <w:t xml:space="preserve">Chimpanzee, West African Red Colobus, </w:t>
            </w:r>
            <w:r w:rsidR="000901DB" w:rsidRPr="006F0F22">
              <w:rPr>
                <w:sz w:val="20"/>
                <w:szCs w:val="20"/>
                <w:lang w:val="en-GB"/>
              </w:rPr>
              <w:t xml:space="preserve">King Colobus, </w:t>
            </w:r>
            <w:r w:rsidR="007A4ECC" w:rsidRPr="006F0F22">
              <w:rPr>
                <w:sz w:val="20"/>
                <w:szCs w:val="20"/>
                <w:lang w:val="en-GB"/>
              </w:rPr>
              <w:t>African Elephant and West African Manatee.</w:t>
            </w:r>
          </w:p>
          <w:p w:rsidR="004A5985" w:rsidRPr="006F0F22" w:rsidRDefault="004A5985" w:rsidP="007D4FC6">
            <w:pPr>
              <w:tabs>
                <w:tab w:val="left" w:pos="177"/>
              </w:tabs>
              <w:ind w:left="0"/>
              <w:contextualSpacing/>
              <w:rPr>
                <w:sz w:val="20"/>
                <w:szCs w:val="20"/>
                <w:lang w:val="en-GB"/>
              </w:rPr>
            </w:pPr>
          </w:p>
          <w:p w:rsidR="004A5985" w:rsidRPr="009E653A" w:rsidRDefault="00E96521" w:rsidP="007D4FC6">
            <w:pPr>
              <w:tabs>
                <w:tab w:val="left" w:pos="177"/>
              </w:tabs>
              <w:ind w:left="0"/>
              <w:contextualSpacing/>
              <w:rPr>
                <w:sz w:val="20"/>
                <w:szCs w:val="20"/>
                <w:lang w:val="en-GB"/>
              </w:rPr>
            </w:pPr>
            <w:r w:rsidRPr="006F0F22">
              <w:rPr>
                <w:sz w:val="20"/>
                <w:szCs w:val="20"/>
                <w:lang w:val="en-GB"/>
              </w:rPr>
              <w:t xml:space="preserve">2.4 </w:t>
            </w:r>
            <w:r w:rsidR="004A5985" w:rsidRPr="006F0F22">
              <w:rPr>
                <w:sz w:val="20"/>
                <w:szCs w:val="20"/>
                <w:lang w:val="en-GB"/>
              </w:rPr>
              <w:t xml:space="preserve">Further indicators (including SMART indicators) </w:t>
            </w:r>
            <w:r w:rsidR="004A5985" w:rsidRPr="006F0F22">
              <w:rPr>
                <w:sz w:val="20"/>
                <w:szCs w:val="20"/>
                <w:lang w:val="en-GB"/>
              </w:rPr>
              <w:lastRenderedPageBreak/>
              <w:t>that also capture benefits to local communities will be developed during the PPG.</w:t>
            </w:r>
          </w:p>
        </w:tc>
        <w:tc>
          <w:tcPr>
            <w:tcW w:w="1627" w:type="pct"/>
            <w:shd w:val="clear" w:color="auto" w:fill="FFFFFF"/>
          </w:tcPr>
          <w:p w:rsidR="00DD313C" w:rsidRPr="009E653A" w:rsidRDefault="00187950" w:rsidP="00A82E10">
            <w:pPr>
              <w:ind w:left="-28" w:right="-28"/>
              <w:contextualSpacing/>
              <w:rPr>
                <w:sz w:val="20"/>
                <w:szCs w:val="20"/>
                <w:lang w:val="en-GB"/>
              </w:rPr>
            </w:pPr>
            <w:r w:rsidRPr="009E653A">
              <w:rPr>
                <w:sz w:val="20"/>
                <w:szCs w:val="20"/>
                <w:lang w:val="en-GB"/>
              </w:rPr>
              <w:lastRenderedPageBreak/>
              <w:t xml:space="preserve">2.1 </w:t>
            </w:r>
            <w:r w:rsidRPr="009E653A">
              <w:rPr>
                <w:sz w:val="20"/>
                <w:szCs w:val="20"/>
                <w:u w:val="single"/>
                <w:lang w:val="en-GB"/>
              </w:rPr>
              <w:t xml:space="preserve">Operational </w:t>
            </w:r>
            <w:r w:rsidR="00BA229A" w:rsidRPr="009E653A">
              <w:rPr>
                <w:sz w:val="20"/>
                <w:szCs w:val="20"/>
                <w:u w:val="single"/>
                <w:lang w:val="en-GB"/>
              </w:rPr>
              <w:t xml:space="preserve">capacities of </w:t>
            </w:r>
            <w:r w:rsidRPr="009E653A">
              <w:rPr>
                <w:sz w:val="20"/>
                <w:szCs w:val="20"/>
                <w:lang w:val="en-GB"/>
              </w:rPr>
              <w:t>Cantanhez</w:t>
            </w:r>
            <w:r w:rsidR="00E12FB0" w:rsidRPr="009E653A">
              <w:rPr>
                <w:sz w:val="20"/>
                <w:szCs w:val="20"/>
                <w:lang w:val="en-GB"/>
              </w:rPr>
              <w:t xml:space="preserve"> </w:t>
            </w:r>
            <w:r w:rsidRPr="009E653A">
              <w:rPr>
                <w:sz w:val="20"/>
                <w:szCs w:val="20"/>
                <w:lang w:val="en-GB"/>
              </w:rPr>
              <w:t>N</w:t>
            </w:r>
            <w:r w:rsidR="00717501" w:rsidRPr="009E653A">
              <w:rPr>
                <w:sz w:val="20"/>
                <w:szCs w:val="20"/>
                <w:lang w:val="en-GB"/>
              </w:rPr>
              <w:t>P</w:t>
            </w:r>
            <w:r w:rsidR="00A12E7C" w:rsidRPr="009E653A">
              <w:rPr>
                <w:sz w:val="20"/>
                <w:szCs w:val="20"/>
                <w:lang w:val="en-GB"/>
              </w:rPr>
              <w:t xml:space="preserve"> </w:t>
            </w:r>
            <w:r w:rsidRPr="009E653A">
              <w:rPr>
                <w:sz w:val="20"/>
                <w:szCs w:val="20"/>
                <w:lang w:val="en-GB"/>
              </w:rPr>
              <w:t xml:space="preserve">consolidated </w:t>
            </w:r>
            <w:r w:rsidR="00BA229A" w:rsidRPr="009E653A">
              <w:rPr>
                <w:sz w:val="20"/>
                <w:szCs w:val="20"/>
                <w:lang w:val="en-GB"/>
              </w:rPr>
              <w:t xml:space="preserve">to permit compliance with </w:t>
            </w:r>
            <w:r w:rsidR="00166A84" w:rsidRPr="009E653A">
              <w:rPr>
                <w:sz w:val="20"/>
                <w:szCs w:val="20"/>
                <w:lang w:val="en-GB"/>
              </w:rPr>
              <w:t xml:space="preserve">at least </w:t>
            </w:r>
            <w:r w:rsidR="00BA229A" w:rsidRPr="009E653A">
              <w:rPr>
                <w:sz w:val="20"/>
                <w:szCs w:val="20"/>
                <w:lang w:val="en-GB"/>
              </w:rPr>
              <w:t>basic functions</w:t>
            </w:r>
            <w:r w:rsidR="00C356D3" w:rsidRPr="009E653A">
              <w:rPr>
                <w:sz w:val="20"/>
                <w:szCs w:val="20"/>
                <w:lang w:val="en-GB"/>
              </w:rPr>
              <w:t xml:space="preserve"> through</w:t>
            </w:r>
            <w:r w:rsidR="00F367E2" w:rsidRPr="009E653A">
              <w:rPr>
                <w:sz w:val="20"/>
                <w:szCs w:val="20"/>
                <w:lang w:val="en-GB"/>
              </w:rPr>
              <w:t xml:space="preserve"> </w:t>
            </w:r>
            <w:r w:rsidR="00C356D3" w:rsidRPr="009E653A">
              <w:rPr>
                <w:sz w:val="20"/>
                <w:szCs w:val="20"/>
                <w:lang w:val="en-GB"/>
              </w:rPr>
              <w:t>(i)</w:t>
            </w:r>
            <w:r w:rsidR="00A12E7C" w:rsidRPr="009E653A">
              <w:rPr>
                <w:sz w:val="20"/>
                <w:szCs w:val="20"/>
                <w:lang w:val="en-GB"/>
              </w:rPr>
              <w:t xml:space="preserve"> </w:t>
            </w:r>
            <w:r w:rsidR="006E2B6B" w:rsidRPr="009E653A">
              <w:rPr>
                <w:sz w:val="20"/>
                <w:szCs w:val="20"/>
                <w:lang w:val="en-GB"/>
              </w:rPr>
              <w:t xml:space="preserve">primary </w:t>
            </w:r>
            <w:r w:rsidR="00A12E7C" w:rsidRPr="009E653A">
              <w:rPr>
                <w:sz w:val="20"/>
                <w:szCs w:val="20"/>
                <w:lang w:val="en-GB"/>
              </w:rPr>
              <w:t xml:space="preserve">operational logistics and </w:t>
            </w:r>
            <w:r w:rsidR="00166A84" w:rsidRPr="009E653A">
              <w:rPr>
                <w:sz w:val="20"/>
                <w:szCs w:val="20"/>
                <w:lang w:val="en-GB"/>
              </w:rPr>
              <w:t>equipment</w:t>
            </w:r>
            <w:r w:rsidR="00C356D3" w:rsidRPr="009E653A">
              <w:rPr>
                <w:sz w:val="20"/>
                <w:szCs w:val="20"/>
                <w:lang w:val="en-GB"/>
              </w:rPr>
              <w:t>; (ii) training programmes for IBAP</w:t>
            </w:r>
            <w:r w:rsidR="00166A84" w:rsidRPr="009E653A">
              <w:rPr>
                <w:sz w:val="20"/>
                <w:szCs w:val="20"/>
                <w:lang w:val="en-GB"/>
              </w:rPr>
              <w:t xml:space="preserve"> </w:t>
            </w:r>
            <w:r w:rsidR="00C356D3" w:rsidRPr="009E653A">
              <w:rPr>
                <w:sz w:val="20"/>
                <w:szCs w:val="20"/>
                <w:lang w:val="en-GB"/>
              </w:rPr>
              <w:t>staff</w:t>
            </w:r>
            <w:r w:rsidR="00166A84" w:rsidRPr="009E653A">
              <w:rPr>
                <w:sz w:val="20"/>
                <w:szCs w:val="20"/>
                <w:lang w:val="en-GB"/>
              </w:rPr>
              <w:t xml:space="preserve"> </w:t>
            </w:r>
            <w:r w:rsidR="002862D3" w:rsidRPr="009E653A">
              <w:rPr>
                <w:sz w:val="20"/>
                <w:szCs w:val="20"/>
                <w:lang w:val="en-GB"/>
              </w:rPr>
              <w:t xml:space="preserve">(involving DGFF </w:t>
            </w:r>
            <w:r w:rsidR="00A93066" w:rsidRPr="009E653A">
              <w:rPr>
                <w:sz w:val="20"/>
                <w:szCs w:val="20"/>
                <w:lang w:val="en-GB"/>
              </w:rPr>
              <w:t xml:space="preserve">and other PA management council </w:t>
            </w:r>
            <w:r w:rsidR="005A264F" w:rsidRPr="009E653A">
              <w:rPr>
                <w:sz w:val="20"/>
                <w:szCs w:val="20"/>
                <w:lang w:val="en-GB"/>
              </w:rPr>
              <w:t>members</w:t>
            </w:r>
            <w:r w:rsidR="002862D3" w:rsidRPr="009E653A">
              <w:rPr>
                <w:sz w:val="20"/>
                <w:szCs w:val="20"/>
                <w:lang w:val="en-GB"/>
              </w:rPr>
              <w:t xml:space="preserve">) </w:t>
            </w:r>
            <w:r w:rsidR="00C356D3" w:rsidRPr="009E653A">
              <w:rPr>
                <w:sz w:val="20"/>
                <w:szCs w:val="20"/>
                <w:lang w:val="en-GB"/>
              </w:rPr>
              <w:t>with special emphasis on PA planning and management,</w:t>
            </w:r>
            <w:r w:rsidR="00E12FB0" w:rsidRPr="009E653A">
              <w:rPr>
                <w:sz w:val="20"/>
                <w:szCs w:val="20"/>
                <w:lang w:val="en-GB"/>
              </w:rPr>
              <w:t xml:space="preserve"> </w:t>
            </w:r>
            <w:r w:rsidR="00C356D3" w:rsidRPr="009E653A">
              <w:rPr>
                <w:sz w:val="20"/>
                <w:szCs w:val="20"/>
                <w:lang w:val="en-GB"/>
              </w:rPr>
              <w:t>community engagement and conflict resolution techniques</w:t>
            </w:r>
            <w:r w:rsidR="00A97B1F" w:rsidRPr="009E653A">
              <w:rPr>
                <w:sz w:val="20"/>
                <w:szCs w:val="20"/>
                <w:lang w:val="en-GB"/>
              </w:rPr>
              <w:t>,</w:t>
            </w:r>
            <w:r w:rsidR="00820E06" w:rsidRPr="009E653A">
              <w:rPr>
                <w:sz w:val="20"/>
                <w:szCs w:val="20"/>
                <w:lang w:val="en-GB"/>
              </w:rPr>
              <w:t xml:space="preserve"> forest management challenges and approaches</w:t>
            </w:r>
            <w:r w:rsidR="00166A84" w:rsidRPr="009E653A">
              <w:rPr>
                <w:sz w:val="20"/>
                <w:szCs w:val="20"/>
                <w:lang w:val="en-GB"/>
              </w:rPr>
              <w:t xml:space="preserve">; iii) </w:t>
            </w:r>
            <w:r w:rsidR="002862D3" w:rsidRPr="009E653A">
              <w:rPr>
                <w:sz w:val="20"/>
                <w:szCs w:val="20"/>
                <w:lang w:val="en-GB"/>
              </w:rPr>
              <w:t xml:space="preserve">underpinning </w:t>
            </w:r>
            <w:r w:rsidR="00166A84" w:rsidRPr="009E653A">
              <w:rPr>
                <w:sz w:val="20"/>
                <w:szCs w:val="20"/>
                <w:lang w:val="en-GB"/>
              </w:rPr>
              <w:t>support to IBAP HQ</w:t>
            </w:r>
            <w:r w:rsidR="00A12E7C" w:rsidRPr="009E653A">
              <w:rPr>
                <w:sz w:val="20"/>
                <w:szCs w:val="20"/>
                <w:lang w:val="en-GB"/>
              </w:rPr>
              <w:t>.</w:t>
            </w:r>
          </w:p>
          <w:p w:rsidR="00DD313C" w:rsidRPr="00A030F3" w:rsidRDefault="00DD313C" w:rsidP="00A82E10">
            <w:pPr>
              <w:ind w:left="-28" w:right="-28"/>
              <w:contextualSpacing/>
              <w:rPr>
                <w:sz w:val="20"/>
                <w:szCs w:val="20"/>
                <w:lang w:val="en-GB"/>
              </w:rPr>
            </w:pPr>
          </w:p>
          <w:p w:rsidR="00C356D3" w:rsidRPr="009E653A" w:rsidRDefault="003F6AF2" w:rsidP="00A82E10">
            <w:pPr>
              <w:ind w:left="-28" w:right="-28"/>
              <w:contextualSpacing/>
              <w:rPr>
                <w:sz w:val="20"/>
                <w:szCs w:val="20"/>
                <w:lang w:val="en-GB"/>
              </w:rPr>
            </w:pPr>
            <w:r w:rsidRPr="009E653A">
              <w:rPr>
                <w:sz w:val="20"/>
                <w:szCs w:val="20"/>
                <w:lang w:val="en-GB"/>
              </w:rPr>
              <w:t>2.2</w:t>
            </w:r>
            <w:r w:rsidR="00316503" w:rsidRPr="009E653A">
              <w:rPr>
                <w:sz w:val="20"/>
                <w:szCs w:val="20"/>
                <w:lang w:val="en-GB"/>
              </w:rPr>
              <w:t xml:space="preserve"> </w:t>
            </w:r>
            <w:r w:rsidRPr="009E653A">
              <w:rPr>
                <w:sz w:val="20"/>
                <w:szCs w:val="20"/>
                <w:lang w:val="en-GB"/>
              </w:rPr>
              <w:t xml:space="preserve">Strengthened </w:t>
            </w:r>
            <w:r w:rsidR="00BA229A" w:rsidRPr="009E653A">
              <w:rPr>
                <w:sz w:val="20"/>
                <w:szCs w:val="20"/>
                <w:u w:val="single"/>
                <w:lang w:val="en-GB"/>
              </w:rPr>
              <w:t>institutional c</w:t>
            </w:r>
            <w:r w:rsidR="00C356D3" w:rsidRPr="009E653A">
              <w:rPr>
                <w:sz w:val="20"/>
                <w:szCs w:val="20"/>
                <w:u w:val="single"/>
                <w:lang w:val="en-GB"/>
              </w:rPr>
              <w:t>apacit</w:t>
            </w:r>
            <w:r w:rsidR="002052CA" w:rsidRPr="009E653A">
              <w:rPr>
                <w:sz w:val="20"/>
                <w:szCs w:val="20"/>
                <w:u w:val="single"/>
                <w:lang w:val="en-GB"/>
              </w:rPr>
              <w:t>y</w:t>
            </w:r>
            <w:r w:rsidR="00951BC2" w:rsidRPr="009E653A">
              <w:rPr>
                <w:sz w:val="20"/>
                <w:szCs w:val="20"/>
                <w:u w:val="single"/>
                <w:lang w:val="en-GB"/>
              </w:rPr>
              <w:t xml:space="preserve"> of DGFF</w:t>
            </w:r>
            <w:r w:rsidR="002851A0" w:rsidRPr="009E653A">
              <w:rPr>
                <w:sz w:val="20"/>
                <w:szCs w:val="20"/>
                <w:u w:val="single"/>
                <w:lang w:val="en-GB"/>
              </w:rPr>
              <w:t xml:space="preserve"> and IBAP</w:t>
            </w:r>
            <w:r w:rsidR="00C356D3" w:rsidRPr="009E653A">
              <w:rPr>
                <w:sz w:val="20"/>
                <w:szCs w:val="20"/>
                <w:lang w:val="en-GB"/>
              </w:rPr>
              <w:t xml:space="preserve"> for effective oversight of land use</w:t>
            </w:r>
            <w:r w:rsidR="00A93066" w:rsidRPr="009E653A">
              <w:rPr>
                <w:sz w:val="20"/>
                <w:szCs w:val="20"/>
                <w:lang w:val="en-GB"/>
              </w:rPr>
              <w:t xml:space="preserve"> and threat reduction in PA buffer </w:t>
            </w:r>
            <w:r w:rsidR="00C356D3" w:rsidRPr="009E653A">
              <w:rPr>
                <w:sz w:val="20"/>
                <w:szCs w:val="20"/>
                <w:lang w:val="en-GB"/>
              </w:rPr>
              <w:t>zone</w:t>
            </w:r>
            <w:r w:rsidR="00A93066" w:rsidRPr="009E653A">
              <w:rPr>
                <w:sz w:val="20"/>
                <w:szCs w:val="20"/>
                <w:lang w:val="en-GB"/>
              </w:rPr>
              <w:t>s and related forest areas</w:t>
            </w:r>
            <w:r w:rsidR="00C356D3" w:rsidRPr="009E653A">
              <w:rPr>
                <w:sz w:val="20"/>
                <w:szCs w:val="20"/>
                <w:lang w:val="en-GB"/>
              </w:rPr>
              <w:t xml:space="preserve"> through </w:t>
            </w:r>
            <w:r w:rsidR="00A12E7C" w:rsidRPr="009E653A">
              <w:rPr>
                <w:sz w:val="20"/>
                <w:szCs w:val="20"/>
                <w:lang w:val="en-GB"/>
              </w:rPr>
              <w:br/>
            </w:r>
            <w:r w:rsidR="00C356D3" w:rsidRPr="009E653A">
              <w:rPr>
                <w:sz w:val="20"/>
                <w:szCs w:val="20"/>
                <w:lang w:val="en-GB"/>
              </w:rPr>
              <w:t xml:space="preserve">(i) joint </w:t>
            </w:r>
            <w:r w:rsidR="002851A0" w:rsidRPr="009E653A">
              <w:rPr>
                <w:sz w:val="20"/>
                <w:szCs w:val="20"/>
                <w:lang w:val="en-GB"/>
              </w:rPr>
              <w:t xml:space="preserve">DGFF-IBAP </w:t>
            </w:r>
            <w:r w:rsidR="00C356D3" w:rsidRPr="009E653A">
              <w:rPr>
                <w:sz w:val="20"/>
                <w:szCs w:val="20"/>
                <w:lang w:val="en-GB"/>
              </w:rPr>
              <w:t xml:space="preserve">planning and collaboration programming in </w:t>
            </w:r>
            <w:r w:rsidR="00A12E7C" w:rsidRPr="009E653A">
              <w:rPr>
                <w:sz w:val="20"/>
                <w:szCs w:val="20"/>
                <w:lang w:val="en-GB"/>
              </w:rPr>
              <w:t xml:space="preserve">priority </w:t>
            </w:r>
            <w:r w:rsidR="00C356D3" w:rsidRPr="009E653A">
              <w:rPr>
                <w:sz w:val="20"/>
                <w:szCs w:val="20"/>
                <w:lang w:val="en-GB"/>
              </w:rPr>
              <w:t xml:space="preserve">high risk </w:t>
            </w:r>
            <w:r w:rsidR="00A12E7C" w:rsidRPr="009E653A">
              <w:rPr>
                <w:sz w:val="20"/>
                <w:szCs w:val="20"/>
                <w:lang w:val="en-GB"/>
              </w:rPr>
              <w:t xml:space="preserve">areas; </w:t>
            </w:r>
            <w:r w:rsidR="00C356D3" w:rsidRPr="009E653A">
              <w:rPr>
                <w:sz w:val="20"/>
                <w:szCs w:val="20"/>
                <w:lang w:val="en-GB"/>
              </w:rPr>
              <w:t xml:space="preserve">(ii) </w:t>
            </w:r>
            <w:r w:rsidR="00D368D4" w:rsidRPr="009E653A">
              <w:rPr>
                <w:sz w:val="20"/>
                <w:szCs w:val="20"/>
                <w:lang w:val="en-GB"/>
              </w:rPr>
              <w:t xml:space="preserve">joint DGFF-IBAP </w:t>
            </w:r>
            <w:r w:rsidR="00C356D3" w:rsidRPr="009E653A">
              <w:rPr>
                <w:sz w:val="20"/>
                <w:szCs w:val="20"/>
                <w:lang w:val="en-GB"/>
              </w:rPr>
              <w:t>training programme</w:t>
            </w:r>
            <w:r w:rsidR="00D368D4" w:rsidRPr="009E653A">
              <w:rPr>
                <w:sz w:val="20"/>
                <w:szCs w:val="20"/>
                <w:lang w:val="en-GB"/>
              </w:rPr>
              <w:t>s</w:t>
            </w:r>
            <w:r w:rsidR="00C356D3" w:rsidRPr="009E653A">
              <w:rPr>
                <w:sz w:val="20"/>
                <w:szCs w:val="20"/>
                <w:lang w:val="en-GB"/>
              </w:rPr>
              <w:t xml:space="preserve"> with emphasis</w:t>
            </w:r>
            <w:r w:rsidR="00A12E7C" w:rsidRPr="009E653A">
              <w:rPr>
                <w:sz w:val="20"/>
                <w:szCs w:val="20"/>
                <w:lang w:val="en-GB"/>
              </w:rPr>
              <w:t xml:space="preserve"> on </w:t>
            </w:r>
            <w:r w:rsidR="00174DA4" w:rsidRPr="009E653A">
              <w:rPr>
                <w:sz w:val="20"/>
                <w:szCs w:val="20"/>
                <w:lang w:val="en-GB"/>
              </w:rPr>
              <w:t>Environmental Impact Assessment (EIA)</w:t>
            </w:r>
            <w:r w:rsidR="0011517B" w:rsidRPr="009E653A">
              <w:rPr>
                <w:sz w:val="20"/>
                <w:szCs w:val="20"/>
                <w:lang w:val="en-GB"/>
              </w:rPr>
              <w:t>, law enforcement,</w:t>
            </w:r>
            <w:r w:rsidR="00C356D3" w:rsidRPr="009E653A">
              <w:rPr>
                <w:sz w:val="20"/>
                <w:szCs w:val="20"/>
                <w:lang w:val="en-GB"/>
              </w:rPr>
              <w:t xml:space="preserve"> </w:t>
            </w:r>
            <w:r w:rsidR="00174DA4" w:rsidRPr="009E653A">
              <w:rPr>
                <w:sz w:val="20"/>
                <w:szCs w:val="20"/>
                <w:lang w:val="en-GB"/>
              </w:rPr>
              <w:t>licensing and monitoring of economic activities in and around PAs</w:t>
            </w:r>
            <w:r w:rsidR="0011517B" w:rsidRPr="009E653A">
              <w:rPr>
                <w:sz w:val="20"/>
                <w:szCs w:val="20"/>
                <w:lang w:val="en-GB"/>
              </w:rPr>
              <w:t>,</w:t>
            </w:r>
            <w:r w:rsidR="00BA229A" w:rsidRPr="009E653A">
              <w:rPr>
                <w:sz w:val="20"/>
                <w:szCs w:val="20"/>
                <w:lang w:val="en-GB"/>
              </w:rPr>
              <w:t xml:space="preserve"> </w:t>
            </w:r>
            <w:r w:rsidR="00820E06" w:rsidRPr="009E653A">
              <w:rPr>
                <w:sz w:val="20"/>
                <w:szCs w:val="20"/>
                <w:lang w:val="en-GB"/>
              </w:rPr>
              <w:t>PA management challenges and approaches</w:t>
            </w:r>
            <w:r w:rsidR="00A12E7C" w:rsidRPr="009E653A">
              <w:rPr>
                <w:sz w:val="20"/>
                <w:szCs w:val="20"/>
                <w:lang w:val="en-GB"/>
              </w:rPr>
              <w:t>.</w:t>
            </w:r>
          </w:p>
          <w:p w:rsidR="00C356D3" w:rsidRPr="00A030F3" w:rsidRDefault="00C356D3" w:rsidP="00A82E10">
            <w:pPr>
              <w:ind w:left="-28" w:right="-28"/>
              <w:contextualSpacing/>
              <w:rPr>
                <w:sz w:val="20"/>
                <w:szCs w:val="20"/>
                <w:lang w:val="en-GB"/>
              </w:rPr>
            </w:pPr>
          </w:p>
          <w:p w:rsidR="00C356D3" w:rsidRPr="009E653A" w:rsidRDefault="00C356D3" w:rsidP="00A82E10">
            <w:pPr>
              <w:ind w:left="-28" w:right="-28"/>
              <w:contextualSpacing/>
              <w:rPr>
                <w:sz w:val="20"/>
                <w:szCs w:val="20"/>
                <w:lang w:val="en-GB"/>
              </w:rPr>
            </w:pPr>
            <w:r w:rsidRPr="009E653A">
              <w:rPr>
                <w:sz w:val="20"/>
                <w:szCs w:val="20"/>
                <w:lang w:val="en-GB"/>
              </w:rPr>
              <w:t xml:space="preserve">2.3  </w:t>
            </w:r>
            <w:r w:rsidR="00262BAE" w:rsidRPr="00262BAE">
              <w:rPr>
                <w:sz w:val="20"/>
                <w:szCs w:val="20"/>
                <w:highlight w:val="yellow"/>
                <w:u w:val="single"/>
                <w:lang w:val="en-GB"/>
              </w:rPr>
              <w:t xml:space="preserve">Local </w:t>
            </w:r>
            <w:r w:rsidR="00262BAE" w:rsidRPr="002E5F6E">
              <w:rPr>
                <w:sz w:val="20"/>
                <w:szCs w:val="20"/>
                <w:u w:val="single"/>
                <w:lang w:val="en-GB"/>
              </w:rPr>
              <w:t>community</w:t>
            </w:r>
            <w:r w:rsidR="00262BAE" w:rsidRPr="009E653A">
              <w:rPr>
                <w:sz w:val="20"/>
                <w:szCs w:val="20"/>
                <w:u w:val="single"/>
                <w:lang w:val="en-GB"/>
              </w:rPr>
              <w:t xml:space="preserve"> </w:t>
            </w:r>
            <w:r w:rsidRPr="009E653A">
              <w:rPr>
                <w:sz w:val="20"/>
                <w:szCs w:val="20"/>
                <w:u w:val="single"/>
                <w:lang w:val="en-GB"/>
              </w:rPr>
              <w:t>involvement in and collaboratio</w:t>
            </w:r>
            <w:r w:rsidR="002851A0" w:rsidRPr="009E653A">
              <w:rPr>
                <w:sz w:val="20"/>
                <w:szCs w:val="20"/>
                <w:u w:val="single"/>
                <w:lang w:val="en-GB"/>
              </w:rPr>
              <w:t xml:space="preserve">n with PA </w:t>
            </w:r>
            <w:r w:rsidR="002E5F6E" w:rsidRPr="002E5F6E">
              <w:rPr>
                <w:sz w:val="20"/>
                <w:szCs w:val="20"/>
                <w:highlight w:val="yellow"/>
                <w:u w:val="single"/>
                <w:lang w:val="en-GB"/>
              </w:rPr>
              <w:t>and forest</w:t>
            </w:r>
            <w:r w:rsidR="002E5F6E">
              <w:rPr>
                <w:sz w:val="20"/>
                <w:szCs w:val="20"/>
                <w:u w:val="single"/>
                <w:lang w:val="en-GB"/>
              </w:rPr>
              <w:t xml:space="preserve"> </w:t>
            </w:r>
            <w:r w:rsidR="002851A0" w:rsidRPr="009E653A">
              <w:rPr>
                <w:sz w:val="20"/>
                <w:szCs w:val="20"/>
                <w:u w:val="single"/>
                <w:lang w:val="en-GB"/>
              </w:rPr>
              <w:t xml:space="preserve">management  improved </w:t>
            </w:r>
            <w:r w:rsidRPr="009E653A">
              <w:rPr>
                <w:sz w:val="20"/>
                <w:szCs w:val="20"/>
                <w:u w:val="single"/>
                <w:lang w:val="en-GB"/>
              </w:rPr>
              <w:t>by (i)</w:t>
            </w:r>
            <w:r w:rsidRPr="009E653A">
              <w:rPr>
                <w:sz w:val="20"/>
                <w:szCs w:val="20"/>
                <w:lang w:val="en-GB"/>
              </w:rPr>
              <w:t xml:space="preserve"> </w:t>
            </w:r>
            <w:r w:rsidR="00477220" w:rsidRPr="009E653A">
              <w:rPr>
                <w:sz w:val="20"/>
                <w:szCs w:val="20"/>
                <w:lang w:val="en-GB"/>
              </w:rPr>
              <w:t xml:space="preserve">strengthening PA management council and related </w:t>
            </w:r>
            <w:r w:rsidR="003255BC" w:rsidRPr="003255BC">
              <w:rPr>
                <w:sz w:val="20"/>
                <w:szCs w:val="20"/>
                <w:highlight w:val="yellow"/>
                <w:lang w:val="en-GB"/>
              </w:rPr>
              <w:t>public participation and</w:t>
            </w:r>
            <w:r w:rsidR="003255BC">
              <w:rPr>
                <w:sz w:val="20"/>
                <w:szCs w:val="20"/>
                <w:lang w:val="en-GB"/>
              </w:rPr>
              <w:t xml:space="preserve"> </w:t>
            </w:r>
            <w:r w:rsidRPr="009E653A">
              <w:rPr>
                <w:sz w:val="20"/>
                <w:szCs w:val="20"/>
                <w:lang w:val="en-GB"/>
              </w:rPr>
              <w:t xml:space="preserve">institutional arrangements </w:t>
            </w:r>
            <w:r w:rsidR="00477220" w:rsidRPr="009E653A">
              <w:rPr>
                <w:sz w:val="20"/>
                <w:szCs w:val="20"/>
                <w:lang w:val="en-GB"/>
              </w:rPr>
              <w:t>for negotiating</w:t>
            </w:r>
            <w:r w:rsidRPr="009E653A">
              <w:rPr>
                <w:sz w:val="20"/>
                <w:szCs w:val="20"/>
                <w:lang w:val="en-GB"/>
              </w:rPr>
              <w:t>, implement</w:t>
            </w:r>
            <w:r w:rsidR="00477220" w:rsidRPr="009E653A">
              <w:rPr>
                <w:sz w:val="20"/>
                <w:szCs w:val="20"/>
                <w:lang w:val="en-GB"/>
              </w:rPr>
              <w:t>ing</w:t>
            </w:r>
            <w:r w:rsidRPr="009E653A">
              <w:rPr>
                <w:sz w:val="20"/>
                <w:szCs w:val="20"/>
                <w:lang w:val="en-GB"/>
              </w:rPr>
              <w:t xml:space="preserve"> and monitor</w:t>
            </w:r>
            <w:r w:rsidR="00477220" w:rsidRPr="009E653A">
              <w:rPr>
                <w:sz w:val="20"/>
                <w:szCs w:val="20"/>
                <w:lang w:val="en-GB"/>
              </w:rPr>
              <w:t>ing</w:t>
            </w:r>
            <w:r w:rsidRPr="009E653A">
              <w:rPr>
                <w:sz w:val="20"/>
                <w:szCs w:val="20"/>
                <w:lang w:val="en-GB"/>
              </w:rPr>
              <w:t xml:space="preserve"> management </w:t>
            </w:r>
            <w:r w:rsidR="00920431" w:rsidRPr="009E653A">
              <w:rPr>
                <w:sz w:val="20"/>
                <w:szCs w:val="20"/>
                <w:lang w:val="en-GB"/>
              </w:rPr>
              <w:t xml:space="preserve">and collaborative </w:t>
            </w:r>
            <w:r w:rsidRPr="009E653A">
              <w:rPr>
                <w:sz w:val="20"/>
                <w:szCs w:val="20"/>
                <w:lang w:val="en-GB"/>
              </w:rPr>
              <w:t xml:space="preserve">agreements; (ii) training programme including conflict resolution mechanisms, and community surveillance and enforcement; (iii) the development of </w:t>
            </w:r>
            <w:r w:rsidRPr="009E653A">
              <w:rPr>
                <w:sz w:val="20"/>
                <w:szCs w:val="20"/>
                <w:lang w:val="en-GB"/>
              </w:rPr>
              <w:lastRenderedPageBreak/>
              <w:t>biodiversit</w:t>
            </w:r>
            <w:r w:rsidR="00A12E7C" w:rsidRPr="009E653A">
              <w:rPr>
                <w:sz w:val="20"/>
                <w:szCs w:val="20"/>
                <w:lang w:val="en-GB"/>
              </w:rPr>
              <w:t>y-friendly economic activities.</w:t>
            </w:r>
            <w:r w:rsidRPr="009E653A">
              <w:rPr>
                <w:sz w:val="20"/>
                <w:szCs w:val="20"/>
                <w:lang w:val="en-GB"/>
              </w:rPr>
              <w:t xml:space="preserve"> </w:t>
            </w:r>
          </w:p>
          <w:p w:rsidR="00C356D3" w:rsidRPr="009E653A" w:rsidRDefault="00C356D3" w:rsidP="00A82E10">
            <w:pPr>
              <w:ind w:left="-28" w:right="-28"/>
              <w:contextualSpacing/>
              <w:rPr>
                <w:sz w:val="20"/>
                <w:szCs w:val="20"/>
                <w:lang w:val="en-GB"/>
              </w:rPr>
            </w:pPr>
          </w:p>
          <w:p w:rsidR="00187950" w:rsidRPr="009E653A" w:rsidRDefault="00717501" w:rsidP="00A82E10">
            <w:pPr>
              <w:ind w:left="-28" w:right="-28"/>
              <w:contextualSpacing/>
              <w:rPr>
                <w:sz w:val="20"/>
                <w:szCs w:val="20"/>
                <w:lang w:val="en-GB"/>
              </w:rPr>
            </w:pPr>
            <w:r w:rsidRPr="009E653A">
              <w:rPr>
                <w:sz w:val="20"/>
                <w:szCs w:val="20"/>
                <w:lang w:val="en-GB"/>
              </w:rPr>
              <w:t>2</w:t>
            </w:r>
            <w:r w:rsidR="00174DA4" w:rsidRPr="009E653A">
              <w:rPr>
                <w:sz w:val="20"/>
                <w:szCs w:val="20"/>
                <w:lang w:val="en-GB"/>
              </w:rPr>
              <w:t>.</w:t>
            </w:r>
            <w:r w:rsidR="002F2D6E" w:rsidRPr="009E653A">
              <w:rPr>
                <w:sz w:val="20"/>
                <w:szCs w:val="20"/>
                <w:lang w:val="en-GB"/>
              </w:rPr>
              <w:t>4</w:t>
            </w:r>
            <w:r w:rsidR="00A12E7C" w:rsidRPr="009E653A">
              <w:rPr>
                <w:sz w:val="20"/>
                <w:szCs w:val="20"/>
                <w:lang w:val="en-GB"/>
              </w:rPr>
              <w:t xml:space="preserve"> </w:t>
            </w:r>
            <w:r w:rsidRPr="009E653A">
              <w:rPr>
                <w:sz w:val="20"/>
                <w:szCs w:val="20"/>
                <w:u w:val="single"/>
                <w:lang w:val="en-GB"/>
              </w:rPr>
              <w:t xml:space="preserve">Management </w:t>
            </w:r>
            <w:r w:rsidR="00590AC0" w:rsidRPr="009E653A">
              <w:rPr>
                <w:sz w:val="20"/>
                <w:szCs w:val="20"/>
                <w:u w:val="single"/>
                <w:lang w:val="en-GB"/>
              </w:rPr>
              <w:t xml:space="preserve">and business </w:t>
            </w:r>
            <w:r w:rsidRPr="009E653A">
              <w:rPr>
                <w:sz w:val="20"/>
                <w:szCs w:val="20"/>
                <w:u w:val="single"/>
                <w:lang w:val="en-GB"/>
              </w:rPr>
              <w:t>plan</w:t>
            </w:r>
            <w:r w:rsidR="00590AC0" w:rsidRPr="009E653A">
              <w:rPr>
                <w:sz w:val="20"/>
                <w:szCs w:val="20"/>
                <w:u w:val="single"/>
                <w:lang w:val="en-GB"/>
              </w:rPr>
              <w:t>s</w:t>
            </w:r>
            <w:r w:rsidRPr="009E653A">
              <w:rPr>
                <w:sz w:val="20"/>
                <w:szCs w:val="20"/>
                <w:u w:val="single"/>
                <w:lang w:val="en-GB"/>
              </w:rPr>
              <w:t xml:space="preserve"> for Cantanhez NP </w:t>
            </w:r>
            <w:r w:rsidR="007A1C01" w:rsidRPr="009E653A">
              <w:rPr>
                <w:sz w:val="20"/>
                <w:szCs w:val="20"/>
                <w:u w:val="single"/>
                <w:lang w:val="en-GB"/>
              </w:rPr>
              <w:t xml:space="preserve">and connected buffer zones and ecological corridors </w:t>
            </w:r>
            <w:r w:rsidR="00F81433" w:rsidRPr="009E653A">
              <w:rPr>
                <w:sz w:val="20"/>
                <w:szCs w:val="20"/>
                <w:u w:val="single"/>
                <w:lang w:val="en-GB"/>
              </w:rPr>
              <w:t>updated</w:t>
            </w:r>
            <w:r w:rsidR="00590AC0" w:rsidRPr="009E653A">
              <w:rPr>
                <w:sz w:val="20"/>
                <w:szCs w:val="20"/>
                <w:u w:val="single"/>
                <w:lang w:val="en-GB"/>
              </w:rPr>
              <w:t>/produced</w:t>
            </w:r>
            <w:r w:rsidR="00F81433" w:rsidRPr="009E653A">
              <w:rPr>
                <w:sz w:val="20"/>
                <w:szCs w:val="20"/>
                <w:lang w:val="en-GB"/>
              </w:rPr>
              <w:t xml:space="preserve">, </w:t>
            </w:r>
            <w:r w:rsidRPr="009E653A">
              <w:rPr>
                <w:sz w:val="20"/>
                <w:szCs w:val="20"/>
                <w:lang w:val="en-GB"/>
              </w:rPr>
              <w:t xml:space="preserve">allowing the coordinated identification, prioritisation </w:t>
            </w:r>
            <w:r w:rsidR="00E218E1" w:rsidRPr="009E653A">
              <w:rPr>
                <w:sz w:val="20"/>
                <w:szCs w:val="20"/>
                <w:lang w:val="en-GB"/>
              </w:rPr>
              <w:t xml:space="preserve">of management activities </w:t>
            </w:r>
            <w:r w:rsidRPr="009E653A">
              <w:rPr>
                <w:sz w:val="20"/>
                <w:szCs w:val="20"/>
                <w:lang w:val="en-GB"/>
              </w:rPr>
              <w:t xml:space="preserve">and allocation </w:t>
            </w:r>
            <w:r w:rsidR="00E218E1" w:rsidRPr="009E653A">
              <w:rPr>
                <w:sz w:val="20"/>
                <w:szCs w:val="20"/>
                <w:lang w:val="en-GB"/>
              </w:rPr>
              <w:t xml:space="preserve">of funds </w:t>
            </w:r>
            <w:r w:rsidRPr="009E653A">
              <w:rPr>
                <w:sz w:val="20"/>
                <w:szCs w:val="20"/>
                <w:lang w:val="en-GB"/>
              </w:rPr>
              <w:t>by IBAP, DGFF and other sectoral institutions with responsibilities for biodiversity conservation, land use planning and forestry.</w:t>
            </w:r>
          </w:p>
        </w:tc>
        <w:tc>
          <w:tcPr>
            <w:tcW w:w="313" w:type="pct"/>
            <w:shd w:val="clear" w:color="auto" w:fill="FFFFFF"/>
          </w:tcPr>
          <w:p w:rsidR="00187950" w:rsidRPr="009E653A" w:rsidRDefault="00187950" w:rsidP="00187950">
            <w:pPr>
              <w:ind w:left="0"/>
              <w:contextualSpacing/>
              <w:rPr>
                <w:sz w:val="20"/>
                <w:szCs w:val="20"/>
                <w:lang w:val="en-GB"/>
              </w:rPr>
            </w:pPr>
            <w:r w:rsidRPr="009E653A">
              <w:rPr>
                <w:sz w:val="20"/>
                <w:szCs w:val="20"/>
                <w:lang w:val="en-GB"/>
              </w:rPr>
              <w:lastRenderedPageBreak/>
              <w:t>GEF-TF</w:t>
            </w:r>
          </w:p>
        </w:tc>
        <w:tc>
          <w:tcPr>
            <w:tcW w:w="438" w:type="pct"/>
            <w:shd w:val="clear" w:color="auto" w:fill="auto"/>
          </w:tcPr>
          <w:p w:rsidR="00187950" w:rsidRPr="009E653A" w:rsidRDefault="00A7573D" w:rsidP="008A12E7">
            <w:pPr>
              <w:ind w:left="-57" w:right="-57"/>
              <w:contextualSpacing/>
              <w:jc w:val="right"/>
              <w:rPr>
                <w:sz w:val="20"/>
                <w:szCs w:val="20"/>
                <w:lang w:val="en-GB"/>
              </w:rPr>
            </w:pPr>
            <w:bookmarkStart w:id="4" w:name="OLE_LINK8"/>
            <w:r w:rsidRPr="009E653A">
              <w:rPr>
                <w:sz w:val="20"/>
                <w:szCs w:val="20"/>
                <w:lang w:val="en-GB"/>
              </w:rPr>
              <w:t>8</w:t>
            </w:r>
            <w:r w:rsidR="00187305" w:rsidRPr="009E653A">
              <w:rPr>
                <w:sz w:val="20"/>
                <w:szCs w:val="20"/>
                <w:lang w:val="en-GB"/>
              </w:rPr>
              <w:t>94,694</w:t>
            </w:r>
            <w:bookmarkEnd w:id="4"/>
          </w:p>
        </w:tc>
        <w:tc>
          <w:tcPr>
            <w:tcW w:w="493" w:type="pct"/>
            <w:shd w:val="clear" w:color="auto" w:fill="auto"/>
          </w:tcPr>
          <w:p w:rsidR="00CF7392" w:rsidRPr="009E653A" w:rsidRDefault="00C6404A" w:rsidP="008A12E7">
            <w:pPr>
              <w:ind w:left="-57" w:right="-57"/>
              <w:contextualSpacing/>
              <w:jc w:val="right"/>
              <w:rPr>
                <w:sz w:val="20"/>
                <w:szCs w:val="20"/>
                <w:lang w:val="en-GB"/>
              </w:rPr>
            </w:pPr>
            <w:r w:rsidRPr="009E653A">
              <w:rPr>
                <w:sz w:val="20"/>
                <w:szCs w:val="20"/>
                <w:lang w:val="en-GB"/>
              </w:rPr>
              <w:t>2,900</w:t>
            </w:r>
            <w:r w:rsidR="007F7C04" w:rsidRPr="009E653A">
              <w:rPr>
                <w:sz w:val="20"/>
                <w:szCs w:val="20"/>
                <w:lang w:val="en-GB"/>
              </w:rPr>
              <w:t>,000</w:t>
            </w:r>
          </w:p>
        </w:tc>
      </w:tr>
      <w:tr w:rsidR="00CC6F03" w:rsidRPr="00A030F3" w:rsidTr="00A82E10">
        <w:tc>
          <w:tcPr>
            <w:tcW w:w="4069" w:type="pct"/>
            <w:gridSpan w:val="5"/>
            <w:tcBorders>
              <w:bottom w:val="single" w:sz="4" w:space="0" w:color="auto"/>
            </w:tcBorders>
            <w:shd w:val="clear" w:color="auto" w:fill="FFFFFF"/>
          </w:tcPr>
          <w:p w:rsidR="00187950" w:rsidRPr="009E653A" w:rsidRDefault="00187950" w:rsidP="00187950">
            <w:pPr>
              <w:ind w:left="0"/>
              <w:contextualSpacing/>
              <w:jc w:val="center"/>
              <w:rPr>
                <w:sz w:val="20"/>
                <w:szCs w:val="20"/>
                <w:lang w:val="en-GB"/>
              </w:rPr>
            </w:pPr>
            <w:r w:rsidRPr="009E653A">
              <w:rPr>
                <w:sz w:val="20"/>
                <w:szCs w:val="20"/>
                <w:lang w:val="en-GB"/>
              </w:rPr>
              <w:lastRenderedPageBreak/>
              <w:t>Subtotal</w:t>
            </w:r>
          </w:p>
        </w:tc>
        <w:tc>
          <w:tcPr>
            <w:tcW w:w="438" w:type="pct"/>
            <w:tcBorders>
              <w:bottom w:val="double" w:sz="4" w:space="0" w:color="auto"/>
            </w:tcBorders>
            <w:shd w:val="clear" w:color="auto" w:fill="auto"/>
          </w:tcPr>
          <w:p w:rsidR="00187950" w:rsidRPr="009E653A" w:rsidRDefault="00187950" w:rsidP="008A12E7">
            <w:pPr>
              <w:ind w:left="-57" w:right="-57"/>
              <w:contextualSpacing/>
              <w:jc w:val="right"/>
              <w:rPr>
                <w:sz w:val="20"/>
                <w:szCs w:val="20"/>
                <w:lang w:val="en-GB"/>
              </w:rPr>
            </w:pPr>
            <w:r w:rsidRPr="009E653A">
              <w:rPr>
                <w:sz w:val="20"/>
                <w:szCs w:val="20"/>
                <w:lang w:val="en-GB"/>
              </w:rPr>
              <w:t>2,194,694</w:t>
            </w:r>
          </w:p>
        </w:tc>
        <w:tc>
          <w:tcPr>
            <w:tcW w:w="493" w:type="pct"/>
            <w:tcBorders>
              <w:bottom w:val="double" w:sz="4" w:space="0" w:color="auto"/>
            </w:tcBorders>
            <w:shd w:val="clear" w:color="auto" w:fill="auto"/>
          </w:tcPr>
          <w:p w:rsidR="00187950" w:rsidRPr="009E653A" w:rsidRDefault="00343CD0" w:rsidP="008A12E7">
            <w:pPr>
              <w:ind w:left="-57" w:right="-57"/>
              <w:contextualSpacing/>
              <w:jc w:val="right"/>
              <w:rPr>
                <w:sz w:val="20"/>
                <w:szCs w:val="20"/>
                <w:lang w:val="en-GB"/>
              </w:rPr>
            </w:pPr>
            <w:r w:rsidRPr="009E653A">
              <w:rPr>
                <w:sz w:val="20"/>
                <w:szCs w:val="20"/>
                <w:lang w:val="en-GB"/>
              </w:rPr>
              <w:t>11,090,000</w:t>
            </w:r>
          </w:p>
        </w:tc>
      </w:tr>
      <w:tr w:rsidR="00CC6F03" w:rsidRPr="00A030F3" w:rsidTr="00A82E10">
        <w:tc>
          <w:tcPr>
            <w:tcW w:w="4069" w:type="pct"/>
            <w:gridSpan w:val="5"/>
            <w:tcBorders>
              <w:top w:val="double" w:sz="4" w:space="0" w:color="auto"/>
              <w:left w:val="single" w:sz="4" w:space="0" w:color="auto"/>
              <w:bottom w:val="double" w:sz="4" w:space="0" w:color="auto"/>
            </w:tcBorders>
            <w:shd w:val="clear" w:color="auto" w:fill="FFFFFF"/>
          </w:tcPr>
          <w:p w:rsidR="00187950" w:rsidRPr="009E653A" w:rsidRDefault="00187950" w:rsidP="00C356D3">
            <w:pPr>
              <w:ind w:left="0"/>
              <w:contextualSpacing/>
              <w:jc w:val="center"/>
              <w:rPr>
                <w:sz w:val="20"/>
                <w:szCs w:val="20"/>
                <w:lang w:val="en-GB"/>
              </w:rPr>
            </w:pPr>
            <w:r w:rsidRPr="009E653A">
              <w:rPr>
                <w:sz w:val="20"/>
                <w:szCs w:val="20"/>
                <w:lang w:val="en-GB"/>
              </w:rPr>
              <w:t>Project Management Cost (PMC)</w:t>
            </w:r>
          </w:p>
        </w:tc>
        <w:tc>
          <w:tcPr>
            <w:tcW w:w="438" w:type="pct"/>
            <w:tcBorders>
              <w:top w:val="double" w:sz="4" w:space="0" w:color="auto"/>
              <w:bottom w:val="double" w:sz="4" w:space="0" w:color="auto"/>
              <w:right w:val="single" w:sz="4" w:space="0" w:color="auto"/>
            </w:tcBorders>
            <w:shd w:val="clear" w:color="auto" w:fill="auto"/>
          </w:tcPr>
          <w:p w:rsidR="00187950" w:rsidRPr="009E653A" w:rsidRDefault="00187950" w:rsidP="008A12E7">
            <w:pPr>
              <w:ind w:left="-57" w:right="-57"/>
              <w:contextualSpacing/>
              <w:jc w:val="right"/>
              <w:rPr>
                <w:sz w:val="20"/>
                <w:szCs w:val="20"/>
                <w:lang w:val="en-GB"/>
              </w:rPr>
            </w:pPr>
            <w:r w:rsidRPr="009E653A">
              <w:rPr>
                <w:sz w:val="20"/>
                <w:szCs w:val="20"/>
                <w:lang w:val="en-GB"/>
              </w:rPr>
              <w:t>109,735</w:t>
            </w:r>
          </w:p>
        </w:tc>
        <w:tc>
          <w:tcPr>
            <w:tcW w:w="493" w:type="pct"/>
            <w:tcBorders>
              <w:top w:val="double" w:sz="4" w:space="0" w:color="auto"/>
              <w:left w:val="single" w:sz="4" w:space="0" w:color="auto"/>
              <w:bottom w:val="double" w:sz="4" w:space="0" w:color="auto"/>
              <w:right w:val="single" w:sz="4" w:space="0" w:color="auto"/>
            </w:tcBorders>
            <w:shd w:val="clear" w:color="auto" w:fill="auto"/>
          </w:tcPr>
          <w:p w:rsidR="00187950" w:rsidRPr="009E653A" w:rsidRDefault="00343CD0" w:rsidP="008A12E7">
            <w:pPr>
              <w:ind w:left="-57" w:right="-57"/>
              <w:contextualSpacing/>
              <w:jc w:val="right"/>
              <w:rPr>
                <w:sz w:val="20"/>
                <w:szCs w:val="20"/>
                <w:lang w:val="en-GB"/>
              </w:rPr>
            </w:pPr>
            <w:r w:rsidRPr="009E653A">
              <w:rPr>
                <w:sz w:val="20"/>
                <w:szCs w:val="20"/>
                <w:lang w:val="en-GB"/>
              </w:rPr>
              <w:t>52</w:t>
            </w:r>
            <w:r w:rsidR="007F7C04" w:rsidRPr="009E653A">
              <w:rPr>
                <w:sz w:val="20"/>
                <w:szCs w:val="20"/>
                <w:lang w:val="en-GB"/>
              </w:rPr>
              <w:t>0,000</w:t>
            </w:r>
          </w:p>
        </w:tc>
      </w:tr>
      <w:tr w:rsidR="00CC6F03" w:rsidRPr="00A030F3" w:rsidTr="00A82E10">
        <w:tc>
          <w:tcPr>
            <w:tcW w:w="4069" w:type="pct"/>
            <w:gridSpan w:val="5"/>
            <w:tcBorders>
              <w:top w:val="double" w:sz="4" w:space="0" w:color="auto"/>
              <w:bottom w:val="double" w:sz="4" w:space="0" w:color="auto"/>
            </w:tcBorders>
            <w:shd w:val="clear" w:color="auto" w:fill="FFFFFF"/>
          </w:tcPr>
          <w:p w:rsidR="00187950" w:rsidRPr="009E653A" w:rsidRDefault="00187950" w:rsidP="00187950">
            <w:pPr>
              <w:ind w:left="0"/>
              <w:contextualSpacing/>
              <w:jc w:val="center"/>
              <w:rPr>
                <w:sz w:val="20"/>
                <w:szCs w:val="20"/>
                <w:lang w:val="en-GB"/>
              </w:rPr>
            </w:pPr>
            <w:r w:rsidRPr="009E653A">
              <w:rPr>
                <w:sz w:val="20"/>
                <w:szCs w:val="20"/>
                <w:lang w:val="en-GB"/>
              </w:rPr>
              <w:t>Total Project Cost</w:t>
            </w:r>
          </w:p>
        </w:tc>
        <w:tc>
          <w:tcPr>
            <w:tcW w:w="438" w:type="pct"/>
            <w:tcBorders>
              <w:top w:val="double" w:sz="4" w:space="0" w:color="auto"/>
              <w:bottom w:val="double" w:sz="4" w:space="0" w:color="auto"/>
            </w:tcBorders>
            <w:shd w:val="clear" w:color="auto" w:fill="auto"/>
          </w:tcPr>
          <w:p w:rsidR="00187950" w:rsidRPr="009E653A" w:rsidRDefault="00187950" w:rsidP="008A12E7">
            <w:pPr>
              <w:ind w:left="-57" w:right="-57"/>
              <w:contextualSpacing/>
              <w:jc w:val="right"/>
              <w:rPr>
                <w:b/>
                <w:sz w:val="20"/>
                <w:szCs w:val="20"/>
                <w:lang w:val="en-GB"/>
              </w:rPr>
            </w:pPr>
            <w:r w:rsidRPr="009E653A">
              <w:rPr>
                <w:b/>
                <w:sz w:val="20"/>
                <w:szCs w:val="20"/>
                <w:lang w:val="en-GB"/>
              </w:rPr>
              <w:t>2,304,429</w:t>
            </w:r>
          </w:p>
        </w:tc>
        <w:tc>
          <w:tcPr>
            <w:tcW w:w="493" w:type="pct"/>
            <w:tcBorders>
              <w:top w:val="double" w:sz="4" w:space="0" w:color="auto"/>
              <w:bottom w:val="double" w:sz="4" w:space="0" w:color="auto"/>
            </w:tcBorders>
            <w:shd w:val="clear" w:color="auto" w:fill="auto"/>
          </w:tcPr>
          <w:p w:rsidR="00187950" w:rsidRPr="009E653A" w:rsidRDefault="00343CD0" w:rsidP="008A12E7">
            <w:pPr>
              <w:ind w:left="-57" w:right="-57"/>
              <w:contextualSpacing/>
              <w:jc w:val="right"/>
              <w:rPr>
                <w:b/>
                <w:sz w:val="20"/>
                <w:szCs w:val="20"/>
                <w:lang w:val="en-GB"/>
              </w:rPr>
            </w:pPr>
            <w:r w:rsidRPr="009E653A">
              <w:rPr>
                <w:b/>
                <w:sz w:val="20"/>
                <w:szCs w:val="20"/>
                <w:lang w:val="en-GB"/>
              </w:rPr>
              <w:t>11,6</w:t>
            </w:r>
            <w:r w:rsidR="007F7C04" w:rsidRPr="009E653A">
              <w:rPr>
                <w:b/>
                <w:sz w:val="20"/>
                <w:szCs w:val="20"/>
                <w:lang w:val="en-GB"/>
              </w:rPr>
              <w:t>10,000</w:t>
            </w:r>
          </w:p>
        </w:tc>
      </w:tr>
    </w:tbl>
    <w:p w:rsidR="00A806C9" w:rsidRPr="00A030F3" w:rsidRDefault="00A806C9" w:rsidP="00A806C9">
      <w:pPr>
        <w:pStyle w:val="Footer"/>
        <w:tabs>
          <w:tab w:val="clear" w:pos="4320"/>
          <w:tab w:val="clear" w:pos="8640"/>
        </w:tabs>
        <w:ind w:left="0"/>
        <w:contextualSpacing/>
        <w:outlineLvl w:val="0"/>
        <w:rPr>
          <w:b/>
          <w:sz w:val="20"/>
          <w:szCs w:val="20"/>
          <w:lang w:val="en-GB"/>
        </w:rPr>
      </w:pPr>
    </w:p>
    <w:p w:rsidR="00276471" w:rsidRPr="00A030F3" w:rsidRDefault="00604ACF" w:rsidP="00A806C9">
      <w:pPr>
        <w:pStyle w:val="Footer"/>
        <w:tabs>
          <w:tab w:val="clear" w:pos="4320"/>
          <w:tab w:val="clear" w:pos="8640"/>
        </w:tabs>
        <w:ind w:left="0"/>
        <w:contextualSpacing/>
        <w:outlineLvl w:val="0"/>
        <w:rPr>
          <w:b/>
          <w:smallCaps/>
          <w:sz w:val="22"/>
          <w:szCs w:val="22"/>
          <w:lang w:val="en-GB"/>
        </w:rPr>
      </w:pPr>
      <w:r w:rsidRPr="00A030F3">
        <w:rPr>
          <w:b/>
          <w:smallCaps/>
          <w:sz w:val="22"/>
          <w:szCs w:val="22"/>
          <w:lang w:val="en-GB"/>
        </w:rPr>
        <w:t>C</w:t>
      </w:r>
      <w:r w:rsidR="00D1574B" w:rsidRPr="00A030F3">
        <w:rPr>
          <w:b/>
          <w:smallCaps/>
          <w:sz w:val="22"/>
          <w:szCs w:val="22"/>
          <w:lang w:val="en-GB"/>
        </w:rPr>
        <w:t xml:space="preserve">.  </w:t>
      </w:r>
      <w:hyperlink r:id="rId10" w:history="1">
        <w:r w:rsidR="00D1574B" w:rsidRPr="00A030F3">
          <w:rPr>
            <w:b/>
            <w:smallCaps/>
            <w:sz w:val="22"/>
            <w:szCs w:val="22"/>
            <w:lang w:val="en-GB"/>
          </w:rPr>
          <w:t>Co-financing</w:t>
        </w:r>
      </w:hyperlink>
      <w:r w:rsidR="00D1574B" w:rsidRPr="00A030F3">
        <w:rPr>
          <w:b/>
          <w:smallCaps/>
          <w:sz w:val="22"/>
          <w:szCs w:val="22"/>
          <w:lang w:val="en-GB"/>
        </w:rPr>
        <w:t xml:space="preserve"> for the </w:t>
      </w:r>
      <w:r w:rsidR="001F637A" w:rsidRPr="00A030F3">
        <w:rPr>
          <w:b/>
          <w:smallCaps/>
          <w:sz w:val="22"/>
          <w:szCs w:val="22"/>
          <w:lang w:val="en-GB"/>
        </w:rPr>
        <w:t>P</w:t>
      </w:r>
      <w:r w:rsidR="00D1574B" w:rsidRPr="00A030F3">
        <w:rPr>
          <w:b/>
          <w:smallCaps/>
          <w:sz w:val="22"/>
          <w:szCs w:val="22"/>
          <w:lang w:val="en-GB"/>
        </w:rPr>
        <w:t xml:space="preserve">roject by </w:t>
      </w:r>
      <w:r w:rsidR="001F637A" w:rsidRPr="00A030F3">
        <w:rPr>
          <w:b/>
          <w:smallCaps/>
          <w:sz w:val="22"/>
          <w:szCs w:val="22"/>
          <w:lang w:val="en-GB"/>
        </w:rPr>
        <w:t>S</w:t>
      </w:r>
      <w:r w:rsidR="00D1574B" w:rsidRPr="00A030F3">
        <w:rPr>
          <w:b/>
          <w:smallCaps/>
          <w:sz w:val="22"/>
          <w:szCs w:val="22"/>
          <w:lang w:val="en-GB"/>
        </w:rPr>
        <w:t xml:space="preserve">ource and by </w:t>
      </w:r>
      <w:r w:rsidR="001F637A" w:rsidRPr="00A030F3">
        <w:rPr>
          <w:b/>
          <w:smallCaps/>
          <w:sz w:val="22"/>
          <w:szCs w:val="22"/>
          <w:lang w:val="en-GB"/>
        </w:rPr>
        <w:t>N</w:t>
      </w:r>
      <w:r w:rsidR="00D1574B" w:rsidRPr="00A030F3">
        <w:rPr>
          <w:b/>
          <w:smallCaps/>
          <w:sz w:val="22"/>
          <w:szCs w:val="22"/>
          <w:lang w:val="en-GB"/>
        </w:rPr>
        <w:t>ame if available, ($)</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857"/>
        <w:gridCol w:w="2421"/>
        <w:gridCol w:w="2227"/>
      </w:tblGrid>
      <w:tr w:rsidR="00187305" w:rsidRPr="00A030F3" w:rsidTr="00226C42">
        <w:trPr>
          <w:cantSplit/>
        </w:trPr>
        <w:tc>
          <w:tcPr>
            <w:tcW w:w="1154" w:type="pct"/>
            <w:vAlign w:val="center"/>
          </w:tcPr>
          <w:p w:rsidR="00187305" w:rsidRPr="00A030F3" w:rsidRDefault="00187305" w:rsidP="000573D9">
            <w:pPr>
              <w:ind w:left="0"/>
              <w:contextualSpacing/>
              <w:jc w:val="center"/>
              <w:rPr>
                <w:b/>
                <w:sz w:val="20"/>
                <w:szCs w:val="20"/>
                <w:lang w:val="en-GB"/>
              </w:rPr>
            </w:pPr>
            <w:r w:rsidRPr="00A030F3">
              <w:rPr>
                <w:b/>
                <w:sz w:val="20"/>
                <w:szCs w:val="20"/>
                <w:lang w:val="en-GB"/>
              </w:rPr>
              <w:t xml:space="preserve">Sources of Co-financing </w:t>
            </w:r>
          </w:p>
        </w:tc>
        <w:tc>
          <w:tcPr>
            <w:tcW w:w="1744" w:type="pct"/>
            <w:vAlign w:val="center"/>
          </w:tcPr>
          <w:p w:rsidR="00187305" w:rsidRPr="00A030F3" w:rsidRDefault="00187305" w:rsidP="00354234">
            <w:pPr>
              <w:contextualSpacing/>
              <w:jc w:val="center"/>
              <w:rPr>
                <w:b/>
                <w:sz w:val="20"/>
                <w:szCs w:val="20"/>
                <w:lang w:val="en-GB"/>
              </w:rPr>
            </w:pPr>
            <w:r w:rsidRPr="00A030F3">
              <w:rPr>
                <w:b/>
                <w:sz w:val="20"/>
                <w:szCs w:val="20"/>
                <w:lang w:val="en-GB"/>
              </w:rPr>
              <w:t>Name of Co-financier</w:t>
            </w:r>
          </w:p>
        </w:tc>
        <w:tc>
          <w:tcPr>
            <w:tcW w:w="1095" w:type="pct"/>
            <w:shd w:val="clear" w:color="auto" w:fill="auto"/>
            <w:vAlign w:val="center"/>
          </w:tcPr>
          <w:p w:rsidR="00187305" w:rsidRPr="00A030F3" w:rsidRDefault="00187305" w:rsidP="00354234">
            <w:pPr>
              <w:ind w:left="5"/>
              <w:contextualSpacing/>
              <w:jc w:val="center"/>
              <w:rPr>
                <w:b/>
                <w:sz w:val="20"/>
                <w:szCs w:val="20"/>
                <w:lang w:val="en-GB"/>
              </w:rPr>
            </w:pPr>
            <w:r w:rsidRPr="00A030F3">
              <w:rPr>
                <w:b/>
                <w:sz w:val="20"/>
                <w:szCs w:val="20"/>
                <w:lang w:val="en-GB"/>
              </w:rPr>
              <w:t>Type of Co-financing</w:t>
            </w:r>
          </w:p>
        </w:tc>
        <w:tc>
          <w:tcPr>
            <w:tcW w:w="1007" w:type="pct"/>
            <w:vAlign w:val="center"/>
          </w:tcPr>
          <w:p w:rsidR="00187305" w:rsidRPr="00A030F3" w:rsidRDefault="00187305" w:rsidP="00354234">
            <w:pPr>
              <w:ind w:left="-6"/>
              <w:contextualSpacing/>
              <w:jc w:val="center"/>
              <w:rPr>
                <w:b/>
                <w:sz w:val="20"/>
                <w:szCs w:val="20"/>
                <w:lang w:val="en-GB"/>
              </w:rPr>
            </w:pPr>
            <w:r w:rsidRPr="00A030F3">
              <w:rPr>
                <w:b/>
                <w:sz w:val="20"/>
                <w:szCs w:val="20"/>
                <w:lang w:val="en-GB"/>
              </w:rPr>
              <w:t>Amount ($)</w:t>
            </w:r>
          </w:p>
        </w:tc>
      </w:tr>
      <w:tr w:rsidR="00187305" w:rsidRPr="00A030F3" w:rsidTr="00226C42">
        <w:trPr>
          <w:cantSplit/>
        </w:trPr>
        <w:tc>
          <w:tcPr>
            <w:tcW w:w="1154" w:type="pct"/>
          </w:tcPr>
          <w:p w:rsidR="00187305" w:rsidRPr="00A030F3" w:rsidRDefault="00740BE6" w:rsidP="00BD1582">
            <w:pPr>
              <w:ind w:left="0"/>
              <w:contextualSpacing/>
              <w:rPr>
                <w:sz w:val="20"/>
                <w:szCs w:val="20"/>
                <w:lang w:val="en-GB"/>
              </w:rPr>
            </w:pPr>
            <w:r w:rsidRPr="00A030F3">
              <w:rPr>
                <w:sz w:val="20"/>
                <w:szCs w:val="20"/>
                <w:lang w:val="en-GB"/>
              </w:rPr>
              <w:t>National Government</w:t>
            </w:r>
          </w:p>
        </w:tc>
        <w:tc>
          <w:tcPr>
            <w:tcW w:w="1744" w:type="pct"/>
          </w:tcPr>
          <w:p w:rsidR="00187305" w:rsidRPr="00A030F3" w:rsidRDefault="00187305" w:rsidP="00BD1582">
            <w:pPr>
              <w:ind w:left="0"/>
              <w:contextualSpacing/>
              <w:rPr>
                <w:sz w:val="20"/>
                <w:szCs w:val="20"/>
                <w:lang w:val="en-GB"/>
              </w:rPr>
            </w:pPr>
            <w:r w:rsidRPr="00A030F3">
              <w:rPr>
                <w:sz w:val="20"/>
                <w:szCs w:val="20"/>
                <w:lang w:val="en-GB"/>
              </w:rPr>
              <w:t xml:space="preserve">Government of </w:t>
            </w:r>
            <w:r w:rsidR="00F71D3E" w:rsidRPr="00A030F3">
              <w:rPr>
                <w:sz w:val="20"/>
                <w:szCs w:val="20"/>
                <w:lang w:val="en-GB"/>
              </w:rPr>
              <w:t>Guinea-Bissau</w:t>
            </w:r>
          </w:p>
        </w:tc>
        <w:tc>
          <w:tcPr>
            <w:tcW w:w="1095" w:type="pct"/>
            <w:shd w:val="clear" w:color="auto" w:fill="auto"/>
          </w:tcPr>
          <w:p w:rsidR="00187305" w:rsidRPr="00A030F3" w:rsidRDefault="00187305" w:rsidP="00BD1582">
            <w:pPr>
              <w:ind w:left="0"/>
              <w:contextualSpacing/>
              <w:rPr>
                <w:sz w:val="20"/>
                <w:szCs w:val="20"/>
                <w:lang w:val="en-GB"/>
              </w:rPr>
            </w:pPr>
            <w:r w:rsidRPr="00A030F3">
              <w:rPr>
                <w:sz w:val="20"/>
                <w:szCs w:val="20"/>
                <w:lang w:val="en-GB"/>
              </w:rPr>
              <w:t>Grant</w:t>
            </w:r>
          </w:p>
        </w:tc>
        <w:tc>
          <w:tcPr>
            <w:tcW w:w="1007" w:type="pct"/>
            <w:shd w:val="clear" w:color="auto" w:fill="auto"/>
          </w:tcPr>
          <w:p w:rsidR="00187305" w:rsidRPr="009E653A" w:rsidRDefault="00343CD0" w:rsidP="00BD1582">
            <w:pPr>
              <w:ind w:left="0"/>
              <w:contextualSpacing/>
              <w:jc w:val="right"/>
              <w:rPr>
                <w:sz w:val="20"/>
                <w:szCs w:val="20"/>
                <w:highlight w:val="cyan"/>
                <w:lang w:val="en-GB"/>
              </w:rPr>
            </w:pPr>
            <w:r w:rsidRPr="009E653A">
              <w:rPr>
                <w:sz w:val="20"/>
                <w:szCs w:val="20"/>
                <w:lang w:val="en-GB"/>
              </w:rPr>
              <w:t>500,000</w:t>
            </w:r>
          </w:p>
        </w:tc>
      </w:tr>
      <w:tr w:rsidR="00187305" w:rsidRPr="00A030F3" w:rsidTr="00226C42">
        <w:trPr>
          <w:cantSplit/>
        </w:trPr>
        <w:tc>
          <w:tcPr>
            <w:tcW w:w="1154" w:type="pct"/>
          </w:tcPr>
          <w:p w:rsidR="00187305" w:rsidRPr="00A030F3" w:rsidRDefault="00740BE6" w:rsidP="00BD1582">
            <w:pPr>
              <w:ind w:left="0"/>
              <w:contextualSpacing/>
              <w:rPr>
                <w:sz w:val="20"/>
                <w:szCs w:val="20"/>
                <w:lang w:val="en-GB"/>
              </w:rPr>
            </w:pPr>
            <w:r w:rsidRPr="00A030F3">
              <w:rPr>
                <w:sz w:val="20"/>
                <w:szCs w:val="20"/>
                <w:lang w:val="en-GB"/>
              </w:rPr>
              <w:t>GEF Agency</w:t>
            </w:r>
          </w:p>
        </w:tc>
        <w:tc>
          <w:tcPr>
            <w:tcW w:w="1744" w:type="pct"/>
          </w:tcPr>
          <w:p w:rsidR="00187305" w:rsidRPr="00A030F3" w:rsidRDefault="00187305" w:rsidP="00BD1582">
            <w:pPr>
              <w:ind w:left="0"/>
              <w:contextualSpacing/>
              <w:rPr>
                <w:sz w:val="20"/>
                <w:szCs w:val="20"/>
                <w:lang w:val="en-GB"/>
              </w:rPr>
            </w:pPr>
            <w:r w:rsidRPr="00A030F3">
              <w:rPr>
                <w:sz w:val="20"/>
                <w:szCs w:val="20"/>
                <w:lang w:val="en-GB"/>
              </w:rPr>
              <w:t>UNDP</w:t>
            </w:r>
          </w:p>
        </w:tc>
        <w:tc>
          <w:tcPr>
            <w:tcW w:w="1095" w:type="pct"/>
            <w:shd w:val="clear" w:color="auto" w:fill="auto"/>
          </w:tcPr>
          <w:p w:rsidR="00187305" w:rsidRPr="00A030F3" w:rsidRDefault="00187305" w:rsidP="00BD1582">
            <w:pPr>
              <w:ind w:left="0"/>
              <w:contextualSpacing/>
              <w:rPr>
                <w:sz w:val="20"/>
                <w:szCs w:val="20"/>
                <w:lang w:val="en-GB"/>
              </w:rPr>
            </w:pPr>
            <w:r w:rsidRPr="00A030F3">
              <w:rPr>
                <w:sz w:val="20"/>
                <w:szCs w:val="20"/>
                <w:lang w:val="en-GB"/>
              </w:rPr>
              <w:t>Grant</w:t>
            </w:r>
          </w:p>
        </w:tc>
        <w:tc>
          <w:tcPr>
            <w:tcW w:w="1007" w:type="pct"/>
            <w:shd w:val="clear" w:color="auto" w:fill="auto"/>
          </w:tcPr>
          <w:p w:rsidR="00187305" w:rsidRPr="009E653A" w:rsidRDefault="00E91772" w:rsidP="004239C2">
            <w:pPr>
              <w:ind w:left="0"/>
              <w:contextualSpacing/>
              <w:jc w:val="right"/>
              <w:rPr>
                <w:sz w:val="20"/>
                <w:szCs w:val="20"/>
                <w:highlight w:val="cyan"/>
                <w:lang w:val="en-GB"/>
              </w:rPr>
            </w:pPr>
            <w:r w:rsidRPr="009E653A">
              <w:rPr>
                <w:sz w:val="20"/>
                <w:szCs w:val="20"/>
                <w:lang w:val="en-GB"/>
              </w:rPr>
              <w:t>37</w:t>
            </w:r>
            <w:r w:rsidR="00661344" w:rsidRPr="009E653A">
              <w:rPr>
                <w:sz w:val="20"/>
                <w:szCs w:val="20"/>
                <w:lang w:val="en-GB"/>
              </w:rPr>
              <w:t>0,000</w:t>
            </w:r>
            <w:r w:rsidR="004239C2" w:rsidRPr="009E653A">
              <w:rPr>
                <w:rStyle w:val="FootnoteReference"/>
                <w:sz w:val="20"/>
                <w:szCs w:val="20"/>
                <w:lang w:val="en-GB"/>
              </w:rPr>
              <w:footnoteReference w:id="6"/>
            </w:r>
          </w:p>
        </w:tc>
      </w:tr>
      <w:tr w:rsidR="00966565" w:rsidRPr="00A030F3" w:rsidTr="00226C42">
        <w:trPr>
          <w:cantSplit/>
        </w:trPr>
        <w:tc>
          <w:tcPr>
            <w:tcW w:w="1154" w:type="pct"/>
          </w:tcPr>
          <w:p w:rsidR="00966565" w:rsidRPr="00A030F3" w:rsidRDefault="00966565" w:rsidP="00DB14D2">
            <w:pPr>
              <w:ind w:left="0"/>
              <w:contextualSpacing/>
              <w:rPr>
                <w:sz w:val="20"/>
                <w:szCs w:val="20"/>
                <w:lang w:val="en-GB"/>
              </w:rPr>
            </w:pPr>
            <w:r w:rsidRPr="00A030F3">
              <w:rPr>
                <w:sz w:val="20"/>
                <w:szCs w:val="20"/>
                <w:lang w:val="en-GB"/>
              </w:rPr>
              <w:t>Other Multilateral Agency</w:t>
            </w:r>
          </w:p>
        </w:tc>
        <w:tc>
          <w:tcPr>
            <w:tcW w:w="1744" w:type="pct"/>
          </w:tcPr>
          <w:p w:rsidR="00966565" w:rsidRPr="00A030F3" w:rsidRDefault="00B07311" w:rsidP="00B07311">
            <w:pPr>
              <w:ind w:left="0"/>
              <w:contextualSpacing/>
              <w:rPr>
                <w:sz w:val="20"/>
                <w:szCs w:val="20"/>
                <w:lang w:val="en-GB"/>
              </w:rPr>
            </w:pPr>
            <w:bookmarkStart w:id="5" w:name="OLE_LINK1"/>
            <w:bookmarkStart w:id="6" w:name="OLE_LINK2"/>
            <w:r w:rsidRPr="00A030F3">
              <w:rPr>
                <w:sz w:val="20"/>
                <w:szCs w:val="20"/>
                <w:lang w:val="en-GB"/>
              </w:rPr>
              <w:t>World Bank</w:t>
            </w:r>
            <w:r w:rsidR="00966565" w:rsidRPr="00A030F3">
              <w:rPr>
                <w:sz w:val="20"/>
                <w:szCs w:val="20"/>
                <w:lang w:val="en-GB"/>
              </w:rPr>
              <w:t xml:space="preserve"> </w:t>
            </w:r>
            <w:bookmarkEnd w:id="5"/>
            <w:bookmarkEnd w:id="6"/>
          </w:p>
        </w:tc>
        <w:tc>
          <w:tcPr>
            <w:tcW w:w="1095" w:type="pct"/>
            <w:shd w:val="clear" w:color="auto" w:fill="auto"/>
          </w:tcPr>
          <w:p w:rsidR="00966565" w:rsidRPr="00A030F3" w:rsidRDefault="00966565" w:rsidP="00DB14D2">
            <w:pPr>
              <w:ind w:left="0"/>
              <w:contextualSpacing/>
              <w:rPr>
                <w:sz w:val="20"/>
                <w:szCs w:val="20"/>
                <w:lang w:val="en-GB"/>
              </w:rPr>
            </w:pPr>
            <w:r w:rsidRPr="00A030F3">
              <w:rPr>
                <w:sz w:val="20"/>
                <w:szCs w:val="20"/>
                <w:lang w:val="en-GB"/>
              </w:rPr>
              <w:t>Grant</w:t>
            </w:r>
          </w:p>
        </w:tc>
        <w:tc>
          <w:tcPr>
            <w:tcW w:w="1007" w:type="pct"/>
            <w:shd w:val="clear" w:color="auto" w:fill="auto"/>
          </w:tcPr>
          <w:p w:rsidR="00966565" w:rsidRPr="009E653A" w:rsidRDefault="00B07311" w:rsidP="00CC6F03">
            <w:pPr>
              <w:ind w:left="0"/>
              <w:contextualSpacing/>
              <w:jc w:val="right"/>
              <w:rPr>
                <w:sz w:val="20"/>
                <w:szCs w:val="20"/>
                <w:highlight w:val="cyan"/>
                <w:lang w:val="en-GB"/>
              </w:rPr>
            </w:pPr>
            <w:r w:rsidRPr="009E653A">
              <w:rPr>
                <w:sz w:val="20"/>
                <w:szCs w:val="20"/>
                <w:lang w:val="en-GB"/>
              </w:rPr>
              <w:t>4,690,000</w:t>
            </w:r>
          </w:p>
        </w:tc>
      </w:tr>
      <w:tr w:rsidR="00187305" w:rsidRPr="00A030F3" w:rsidTr="00226C42">
        <w:trPr>
          <w:cantSplit/>
        </w:trPr>
        <w:tc>
          <w:tcPr>
            <w:tcW w:w="1154" w:type="pct"/>
          </w:tcPr>
          <w:p w:rsidR="00187305" w:rsidRPr="00A030F3" w:rsidRDefault="00740BE6" w:rsidP="00BD1582">
            <w:pPr>
              <w:ind w:left="0"/>
              <w:contextualSpacing/>
              <w:rPr>
                <w:sz w:val="20"/>
                <w:szCs w:val="20"/>
                <w:lang w:val="en-GB"/>
              </w:rPr>
            </w:pPr>
            <w:r w:rsidRPr="00A030F3">
              <w:rPr>
                <w:sz w:val="20"/>
                <w:szCs w:val="20"/>
                <w:lang w:val="en-GB"/>
              </w:rPr>
              <w:t>Bilateral Aid Agency</w:t>
            </w:r>
          </w:p>
        </w:tc>
        <w:tc>
          <w:tcPr>
            <w:tcW w:w="1744" w:type="pct"/>
          </w:tcPr>
          <w:p w:rsidR="00187305" w:rsidRPr="00A030F3" w:rsidRDefault="00386248" w:rsidP="000A41F3">
            <w:pPr>
              <w:ind w:left="0"/>
              <w:contextualSpacing/>
              <w:rPr>
                <w:sz w:val="20"/>
                <w:szCs w:val="20"/>
                <w:lang w:val="en-GB"/>
              </w:rPr>
            </w:pPr>
            <w:r w:rsidRPr="00A030F3">
              <w:rPr>
                <w:sz w:val="20"/>
                <w:szCs w:val="20"/>
                <w:lang w:val="en-GB"/>
              </w:rPr>
              <w:t>FFEM</w:t>
            </w:r>
          </w:p>
        </w:tc>
        <w:tc>
          <w:tcPr>
            <w:tcW w:w="1095" w:type="pct"/>
            <w:shd w:val="clear" w:color="auto" w:fill="auto"/>
          </w:tcPr>
          <w:p w:rsidR="00187305" w:rsidRPr="00A030F3" w:rsidRDefault="00E30DAD" w:rsidP="00BD1582">
            <w:pPr>
              <w:ind w:left="0"/>
              <w:contextualSpacing/>
              <w:rPr>
                <w:sz w:val="20"/>
                <w:szCs w:val="20"/>
                <w:lang w:val="en-GB"/>
              </w:rPr>
            </w:pPr>
            <w:r w:rsidRPr="00A030F3">
              <w:rPr>
                <w:sz w:val="20"/>
                <w:szCs w:val="20"/>
                <w:lang w:val="en-GB"/>
              </w:rPr>
              <w:t>Grant</w:t>
            </w:r>
          </w:p>
        </w:tc>
        <w:tc>
          <w:tcPr>
            <w:tcW w:w="1007" w:type="pct"/>
            <w:shd w:val="clear" w:color="auto" w:fill="auto"/>
          </w:tcPr>
          <w:p w:rsidR="00187305" w:rsidRPr="009E653A" w:rsidRDefault="00B07311" w:rsidP="00BD1582">
            <w:pPr>
              <w:ind w:left="0"/>
              <w:contextualSpacing/>
              <w:jc w:val="right"/>
              <w:rPr>
                <w:sz w:val="20"/>
                <w:szCs w:val="20"/>
                <w:highlight w:val="cyan"/>
                <w:lang w:val="en-GB"/>
              </w:rPr>
            </w:pPr>
            <w:r w:rsidRPr="009E653A">
              <w:rPr>
                <w:sz w:val="20"/>
                <w:szCs w:val="20"/>
                <w:lang w:val="en-GB"/>
              </w:rPr>
              <w:t>1,3</w:t>
            </w:r>
            <w:r w:rsidR="00386248" w:rsidRPr="009E653A">
              <w:rPr>
                <w:sz w:val="20"/>
                <w:szCs w:val="20"/>
                <w:lang w:val="en-GB"/>
              </w:rPr>
              <w:t>00,000</w:t>
            </w:r>
            <w:r w:rsidR="000A41F3" w:rsidRPr="00A030F3">
              <w:rPr>
                <w:rStyle w:val="FootnoteReference"/>
                <w:sz w:val="20"/>
                <w:szCs w:val="20"/>
                <w:lang w:val="en-GB"/>
              </w:rPr>
              <w:footnoteReference w:id="7"/>
            </w:r>
          </w:p>
        </w:tc>
      </w:tr>
      <w:tr w:rsidR="00187305" w:rsidRPr="00A030F3" w:rsidTr="00226C42">
        <w:trPr>
          <w:cantSplit/>
        </w:trPr>
        <w:tc>
          <w:tcPr>
            <w:tcW w:w="1154" w:type="pct"/>
          </w:tcPr>
          <w:p w:rsidR="00187305" w:rsidRPr="00A030F3" w:rsidRDefault="00740BE6" w:rsidP="00BD1582">
            <w:pPr>
              <w:ind w:left="0"/>
              <w:contextualSpacing/>
              <w:rPr>
                <w:sz w:val="20"/>
                <w:szCs w:val="20"/>
                <w:lang w:val="en-GB"/>
              </w:rPr>
            </w:pPr>
            <w:r w:rsidRPr="00A030F3">
              <w:rPr>
                <w:sz w:val="20"/>
                <w:szCs w:val="20"/>
                <w:lang w:val="en-GB"/>
              </w:rPr>
              <w:t>Foundation</w:t>
            </w:r>
          </w:p>
        </w:tc>
        <w:tc>
          <w:tcPr>
            <w:tcW w:w="1744" w:type="pct"/>
          </w:tcPr>
          <w:p w:rsidR="00187305" w:rsidRPr="00A030F3" w:rsidRDefault="00187305" w:rsidP="000A41F3">
            <w:pPr>
              <w:ind w:left="0"/>
              <w:contextualSpacing/>
              <w:rPr>
                <w:sz w:val="20"/>
                <w:szCs w:val="20"/>
                <w:lang w:val="en-GB"/>
              </w:rPr>
            </w:pPr>
            <w:r w:rsidRPr="00A030F3">
              <w:rPr>
                <w:sz w:val="20"/>
                <w:szCs w:val="20"/>
                <w:lang w:val="en-GB"/>
              </w:rPr>
              <w:t>MAVA</w:t>
            </w:r>
          </w:p>
        </w:tc>
        <w:tc>
          <w:tcPr>
            <w:tcW w:w="1095" w:type="pct"/>
            <w:shd w:val="clear" w:color="auto" w:fill="auto"/>
          </w:tcPr>
          <w:p w:rsidR="00187305" w:rsidRPr="00A030F3" w:rsidRDefault="00187305" w:rsidP="00BD1582">
            <w:pPr>
              <w:ind w:left="0"/>
              <w:contextualSpacing/>
              <w:rPr>
                <w:sz w:val="20"/>
                <w:szCs w:val="20"/>
                <w:lang w:val="en-GB"/>
              </w:rPr>
            </w:pPr>
            <w:r w:rsidRPr="00A030F3">
              <w:rPr>
                <w:sz w:val="20"/>
                <w:szCs w:val="20"/>
                <w:lang w:val="en-GB"/>
              </w:rPr>
              <w:t>Grant</w:t>
            </w:r>
          </w:p>
        </w:tc>
        <w:tc>
          <w:tcPr>
            <w:tcW w:w="1007" w:type="pct"/>
            <w:shd w:val="clear" w:color="auto" w:fill="auto"/>
          </w:tcPr>
          <w:p w:rsidR="00187305" w:rsidRPr="009E653A" w:rsidRDefault="00B07311" w:rsidP="000A41F3">
            <w:pPr>
              <w:ind w:left="0"/>
              <w:contextualSpacing/>
              <w:jc w:val="right"/>
              <w:rPr>
                <w:sz w:val="20"/>
                <w:szCs w:val="20"/>
                <w:highlight w:val="cyan"/>
                <w:lang w:val="en-GB"/>
              </w:rPr>
            </w:pPr>
            <w:r w:rsidRPr="009E653A">
              <w:rPr>
                <w:sz w:val="20"/>
                <w:szCs w:val="20"/>
                <w:lang w:val="en-GB"/>
              </w:rPr>
              <w:t>2,050,000</w:t>
            </w:r>
            <w:r w:rsidR="000A41F3" w:rsidRPr="003E465C">
              <w:rPr>
                <w:rStyle w:val="FootnoteReference"/>
                <w:sz w:val="20"/>
                <w:szCs w:val="20"/>
                <w:highlight w:val="yellow"/>
                <w:lang w:val="en-GB"/>
              </w:rPr>
              <w:footnoteReference w:id="8"/>
            </w:r>
          </w:p>
        </w:tc>
      </w:tr>
      <w:tr w:rsidR="00187305" w:rsidRPr="00A030F3" w:rsidTr="00226C42">
        <w:trPr>
          <w:cantSplit/>
        </w:trPr>
        <w:tc>
          <w:tcPr>
            <w:tcW w:w="1154" w:type="pct"/>
          </w:tcPr>
          <w:p w:rsidR="00187305" w:rsidRPr="00A030F3" w:rsidRDefault="00740BE6" w:rsidP="00BD1582">
            <w:pPr>
              <w:ind w:left="0"/>
              <w:contextualSpacing/>
              <w:rPr>
                <w:sz w:val="20"/>
                <w:szCs w:val="20"/>
                <w:lang w:val="en-GB"/>
              </w:rPr>
            </w:pPr>
            <w:r w:rsidRPr="00A030F3">
              <w:rPr>
                <w:sz w:val="20"/>
                <w:szCs w:val="20"/>
                <w:lang w:val="en-GB"/>
              </w:rPr>
              <w:t>Local Government</w:t>
            </w:r>
          </w:p>
        </w:tc>
        <w:tc>
          <w:tcPr>
            <w:tcW w:w="1744" w:type="pct"/>
          </w:tcPr>
          <w:p w:rsidR="00187305" w:rsidRPr="00A030F3" w:rsidRDefault="00C81388" w:rsidP="00E46E8A">
            <w:pPr>
              <w:ind w:left="0"/>
              <w:contextualSpacing/>
              <w:rPr>
                <w:sz w:val="20"/>
                <w:szCs w:val="20"/>
                <w:lang w:val="en-GB"/>
              </w:rPr>
            </w:pPr>
            <w:bookmarkStart w:id="7" w:name="OLE_LINK5"/>
            <w:r w:rsidRPr="00A030F3">
              <w:rPr>
                <w:sz w:val="20"/>
                <w:szCs w:val="20"/>
                <w:lang w:val="en-GB"/>
              </w:rPr>
              <w:t>E</w:t>
            </w:r>
            <w:bookmarkEnd w:id="7"/>
            <w:r w:rsidR="00B07311" w:rsidRPr="00A030F3">
              <w:rPr>
                <w:sz w:val="20"/>
                <w:szCs w:val="20"/>
                <w:lang w:val="en-GB"/>
              </w:rPr>
              <w:t>uropean Union</w:t>
            </w:r>
          </w:p>
        </w:tc>
        <w:tc>
          <w:tcPr>
            <w:tcW w:w="1095" w:type="pct"/>
            <w:shd w:val="clear" w:color="auto" w:fill="auto"/>
          </w:tcPr>
          <w:p w:rsidR="00187305" w:rsidRPr="00A030F3" w:rsidRDefault="00B07311" w:rsidP="00BD1582">
            <w:pPr>
              <w:ind w:left="0"/>
              <w:contextualSpacing/>
              <w:rPr>
                <w:sz w:val="20"/>
                <w:szCs w:val="20"/>
                <w:lang w:val="en-GB"/>
              </w:rPr>
            </w:pPr>
            <w:r w:rsidRPr="00A030F3">
              <w:rPr>
                <w:sz w:val="20"/>
                <w:szCs w:val="20"/>
                <w:lang w:val="en-GB"/>
              </w:rPr>
              <w:t>Grant</w:t>
            </w:r>
          </w:p>
        </w:tc>
        <w:tc>
          <w:tcPr>
            <w:tcW w:w="1007" w:type="pct"/>
            <w:shd w:val="clear" w:color="auto" w:fill="auto"/>
          </w:tcPr>
          <w:p w:rsidR="00187305" w:rsidRPr="009E653A" w:rsidRDefault="007314C9" w:rsidP="00BD1582">
            <w:pPr>
              <w:ind w:left="0"/>
              <w:contextualSpacing/>
              <w:jc w:val="right"/>
              <w:rPr>
                <w:sz w:val="20"/>
                <w:szCs w:val="20"/>
                <w:highlight w:val="cyan"/>
                <w:lang w:val="en-GB"/>
              </w:rPr>
            </w:pPr>
            <w:r w:rsidRPr="009E653A">
              <w:rPr>
                <w:sz w:val="20"/>
                <w:szCs w:val="20"/>
                <w:lang w:val="en-GB"/>
              </w:rPr>
              <w:t>2,7</w:t>
            </w:r>
            <w:r w:rsidR="00B07311" w:rsidRPr="009E653A">
              <w:rPr>
                <w:sz w:val="20"/>
                <w:szCs w:val="20"/>
                <w:lang w:val="en-GB"/>
              </w:rPr>
              <w:t>00,000</w:t>
            </w:r>
            <w:r w:rsidR="00E46E8A">
              <w:rPr>
                <w:rStyle w:val="FootnoteReference"/>
                <w:sz w:val="20"/>
                <w:szCs w:val="20"/>
                <w:lang w:val="en-GB"/>
              </w:rPr>
              <w:footnoteReference w:id="9"/>
            </w:r>
          </w:p>
        </w:tc>
      </w:tr>
      <w:tr w:rsidR="00187305" w:rsidRPr="00A030F3" w:rsidTr="00226C42">
        <w:trPr>
          <w:cantSplit/>
          <w:hidden/>
        </w:trPr>
        <w:tc>
          <w:tcPr>
            <w:tcW w:w="1154" w:type="pct"/>
          </w:tcPr>
          <w:p w:rsidR="00187305" w:rsidRPr="00A030F3" w:rsidRDefault="008478AA" w:rsidP="00BD1582">
            <w:pPr>
              <w:ind w:left="0"/>
              <w:contextualSpacing/>
              <w:rPr>
                <w:vanish/>
                <w:sz w:val="20"/>
                <w:szCs w:val="20"/>
                <w:lang w:val="en-GB"/>
              </w:rPr>
            </w:pPr>
            <w:r w:rsidRPr="00A030F3">
              <w:rPr>
                <w:vanish/>
                <w:sz w:val="20"/>
                <w:szCs w:val="20"/>
                <w:lang w:val="en-GB"/>
              </w:rPr>
              <w:fldChar w:fldCharType="begin">
                <w:ffData>
                  <w:name w:val="srcCofin_05"/>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00187305" w:rsidRPr="00A030F3">
              <w:rPr>
                <w:vanish/>
                <w:sz w:val="20"/>
                <w:szCs w:val="20"/>
                <w:lang w:val="en-GB"/>
              </w:rPr>
              <w:instrText xml:space="preserve"> FORMDROPDOWN </w:instrText>
            </w:r>
            <w:r w:rsidR="00A46689">
              <w:rPr>
                <w:vanish/>
                <w:sz w:val="20"/>
                <w:szCs w:val="20"/>
                <w:lang w:val="en-GB"/>
              </w:rPr>
            </w:r>
            <w:r w:rsidR="00A46689">
              <w:rPr>
                <w:vanish/>
                <w:sz w:val="20"/>
                <w:szCs w:val="20"/>
                <w:lang w:val="en-GB"/>
              </w:rPr>
              <w:fldChar w:fldCharType="separate"/>
            </w:r>
            <w:r w:rsidRPr="00A030F3">
              <w:rPr>
                <w:vanish/>
                <w:sz w:val="20"/>
                <w:szCs w:val="20"/>
                <w:lang w:val="en-GB"/>
              </w:rPr>
              <w:fldChar w:fldCharType="end"/>
            </w:r>
          </w:p>
        </w:tc>
        <w:tc>
          <w:tcPr>
            <w:tcW w:w="1744" w:type="pct"/>
          </w:tcPr>
          <w:p w:rsidR="00187305" w:rsidRPr="00A030F3" w:rsidRDefault="008478AA" w:rsidP="00BD1582">
            <w:pPr>
              <w:ind w:left="0"/>
              <w:contextualSpacing/>
              <w:rPr>
                <w:vanish/>
                <w:sz w:val="20"/>
                <w:szCs w:val="20"/>
                <w:lang w:val="en-GB"/>
              </w:rPr>
            </w:pPr>
            <w:r w:rsidRPr="00A030F3">
              <w:rPr>
                <w:vanish/>
                <w:sz w:val="20"/>
                <w:szCs w:val="20"/>
                <w:lang w:val="en-GB"/>
              </w:rPr>
              <w:fldChar w:fldCharType="begin">
                <w:ffData>
                  <w:name w:val="nameOfCofin_05"/>
                  <w:enabled/>
                  <w:calcOnExit w:val="0"/>
                  <w:textInput/>
                </w:ffData>
              </w:fldChar>
            </w:r>
            <w:r w:rsidR="00187305" w:rsidRPr="00A030F3">
              <w:rPr>
                <w:vanish/>
                <w:sz w:val="20"/>
                <w:szCs w:val="20"/>
                <w:lang w:val="en-GB"/>
              </w:rPr>
              <w:instrText xml:space="preserve"> FORMTEXT </w:instrText>
            </w:r>
            <w:r w:rsidRPr="00A030F3">
              <w:rPr>
                <w:vanish/>
                <w:sz w:val="20"/>
                <w:szCs w:val="20"/>
                <w:lang w:val="en-GB"/>
              </w:rPr>
            </w:r>
            <w:r w:rsidRPr="00A030F3">
              <w:rPr>
                <w:vanish/>
                <w:sz w:val="20"/>
                <w:szCs w:val="20"/>
                <w:lang w:val="en-GB"/>
              </w:rPr>
              <w:fldChar w:fldCharType="separate"/>
            </w:r>
            <w:r w:rsidR="00187305" w:rsidRPr="00A030F3">
              <w:rPr>
                <w:noProof/>
                <w:vanish/>
                <w:sz w:val="20"/>
                <w:szCs w:val="20"/>
                <w:lang w:val="en-GB"/>
              </w:rPr>
              <w:t> </w:t>
            </w:r>
            <w:r w:rsidR="00187305" w:rsidRPr="00A030F3">
              <w:rPr>
                <w:noProof/>
                <w:vanish/>
                <w:sz w:val="20"/>
                <w:szCs w:val="20"/>
                <w:lang w:val="en-GB"/>
              </w:rPr>
              <w:t> </w:t>
            </w:r>
            <w:r w:rsidR="00187305" w:rsidRPr="00A030F3">
              <w:rPr>
                <w:noProof/>
                <w:vanish/>
                <w:sz w:val="20"/>
                <w:szCs w:val="20"/>
                <w:lang w:val="en-GB"/>
              </w:rPr>
              <w:t> </w:t>
            </w:r>
            <w:r w:rsidR="00187305" w:rsidRPr="00A030F3">
              <w:rPr>
                <w:noProof/>
                <w:vanish/>
                <w:sz w:val="20"/>
                <w:szCs w:val="20"/>
                <w:lang w:val="en-GB"/>
              </w:rPr>
              <w:t> </w:t>
            </w:r>
            <w:r w:rsidR="00187305" w:rsidRPr="00A030F3">
              <w:rPr>
                <w:noProof/>
                <w:vanish/>
                <w:sz w:val="20"/>
                <w:szCs w:val="20"/>
                <w:lang w:val="en-GB"/>
              </w:rPr>
              <w:t> </w:t>
            </w:r>
            <w:r w:rsidRPr="00A030F3">
              <w:rPr>
                <w:vanish/>
                <w:sz w:val="20"/>
                <w:szCs w:val="20"/>
                <w:lang w:val="en-GB"/>
              </w:rPr>
              <w:fldChar w:fldCharType="end"/>
            </w:r>
          </w:p>
        </w:tc>
        <w:tc>
          <w:tcPr>
            <w:tcW w:w="1095" w:type="pct"/>
            <w:shd w:val="clear" w:color="auto" w:fill="auto"/>
          </w:tcPr>
          <w:p w:rsidR="00187305" w:rsidRPr="00A030F3" w:rsidRDefault="008478AA" w:rsidP="00BD1582">
            <w:pPr>
              <w:ind w:left="0"/>
              <w:contextualSpacing/>
              <w:rPr>
                <w:vanish/>
                <w:sz w:val="20"/>
                <w:szCs w:val="20"/>
                <w:lang w:val="en-GB"/>
              </w:rPr>
            </w:pPr>
            <w:r w:rsidRPr="00A030F3">
              <w:rPr>
                <w:vanish/>
                <w:sz w:val="20"/>
                <w:szCs w:val="20"/>
                <w:lang w:val="en-GB"/>
              </w:rPr>
              <w:fldChar w:fldCharType="begin">
                <w:ffData>
                  <w:name w:val="CofinType_05"/>
                  <w:enabled/>
                  <w:calcOnExit w:val="0"/>
                  <w:ddList>
                    <w:listEntry w:val="(select)"/>
                    <w:listEntry w:val="Grant"/>
                    <w:listEntry w:val="Soft Loan"/>
                    <w:listEntry w:val="Hard Loan"/>
                    <w:listEntry w:val="Guarantee"/>
                    <w:listEntry w:val="In-kind"/>
                    <w:listEntry w:val="Unknown at this stage"/>
                  </w:ddList>
                </w:ffData>
              </w:fldChar>
            </w:r>
            <w:r w:rsidR="00187305" w:rsidRPr="00A030F3">
              <w:rPr>
                <w:vanish/>
                <w:sz w:val="20"/>
                <w:szCs w:val="20"/>
                <w:lang w:val="en-GB"/>
              </w:rPr>
              <w:instrText xml:space="preserve"> FORMDROPDOWN </w:instrText>
            </w:r>
            <w:r w:rsidR="00A46689">
              <w:rPr>
                <w:vanish/>
                <w:sz w:val="20"/>
                <w:szCs w:val="20"/>
                <w:lang w:val="en-GB"/>
              </w:rPr>
            </w:r>
            <w:r w:rsidR="00A46689">
              <w:rPr>
                <w:vanish/>
                <w:sz w:val="20"/>
                <w:szCs w:val="20"/>
                <w:lang w:val="en-GB"/>
              </w:rPr>
              <w:fldChar w:fldCharType="separate"/>
            </w:r>
            <w:r w:rsidRPr="00A030F3">
              <w:rPr>
                <w:vanish/>
                <w:sz w:val="20"/>
                <w:szCs w:val="20"/>
                <w:lang w:val="en-GB"/>
              </w:rPr>
              <w:fldChar w:fldCharType="end"/>
            </w:r>
          </w:p>
        </w:tc>
        <w:tc>
          <w:tcPr>
            <w:tcW w:w="1007" w:type="pct"/>
            <w:shd w:val="clear" w:color="auto" w:fill="auto"/>
          </w:tcPr>
          <w:p w:rsidR="00187305" w:rsidRPr="009E653A" w:rsidRDefault="008478AA" w:rsidP="00BD1582">
            <w:pPr>
              <w:ind w:left="0"/>
              <w:contextualSpacing/>
              <w:jc w:val="right"/>
              <w:rPr>
                <w:vanish/>
                <w:sz w:val="20"/>
                <w:szCs w:val="20"/>
                <w:highlight w:val="cyan"/>
                <w:lang w:val="en-GB"/>
              </w:rPr>
            </w:pPr>
            <w:r w:rsidRPr="009E653A">
              <w:rPr>
                <w:vanish/>
                <w:sz w:val="20"/>
                <w:szCs w:val="20"/>
                <w:highlight w:val="cyan"/>
                <w:lang w:val="en-GB"/>
              </w:rPr>
              <w:fldChar w:fldCharType="begin">
                <w:ffData>
                  <w:name w:val="CofinTotal_05"/>
                  <w:enabled/>
                  <w:calcOnExit w:val="0"/>
                  <w:textInput>
                    <w:type w:val="number"/>
                    <w:format w:val="0"/>
                  </w:textInput>
                </w:ffData>
              </w:fldChar>
            </w:r>
            <w:r w:rsidR="00187305" w:rsidRPr="009E653A">
              <w:rPr>
                <w:vanish/>
                <w:sz w:val="20"/>
                <w:szCs w:val="20"/>
                <w:highlight w:val="cyan"/>
                <w:lang w:val="en-GB"/>
              </w:rPr>
              <w:instrText xml:space="preserve"> FORMTEXT </w:instrText>
            </w:r>
            <w:r w:rsidRPr="009E653A">
              <w:rPr>
                <w:vanish/>
                <w:sz w:val="20"/>
                <w:szCs w:val="20"/>
                <w:highlight w:val="cyan"/>
                <w:lang w:val="en-GB"/>
              </w:rPr>
            </w:r>
            <w:r w:rsidRPr="009E653A">
              <w:rPr>
                <w:vanish/>
                <w:sz w:val="20"/>
                <w:szCs w:val="20"/>
                <w:highlight w:val="cyan"/>
                <w:lang w:val="en-GB"/>
              </w:rPr>
              <w:fldChar w:fldCharType="separate"/>
            </w:r>
            <w:r w:rsidR="00187305" w:rsidRPr="009E653A">
              <w:rPr>
                <w:noProof/>
                <w:vanish/>
                <w:sz w:val="20"/>
                <w:szCs w:val="20"/>
                <w:highlight w:val="cyan"/>
                <w:lang w:val="en-GB"/>
              </w:rPr>
              <w:t> </w:t>
            </w:r>
            <w:r w:rsidR="00187305" w:rsidRPr="009E653A">
              <w:rPr>
                <w:noProof/>
                <w:vanish/>
                <w:sz w:val="20"/>
                <w:szCs w:val="20"/>
                <w:highlight w:val="cyan"/>
                <w:lang w:val="en-GB"/>
              </w:rPr>
              <w:t> </w:t>
            </w:r>
            <w:r w:rsidR="00187305" w:rsidRPr="009E653A">
              <w:rPr>
                <w:noProof/>
                <w:vanish/>
                <w:sz w:val="20"/>
                <w:szCs w:val="20"/>
                <w:highlight w:val="cyan"/>
                <w:lang w:val="en-GB"/>
              </w:rPr>
              <w:t> </w:t>
            </w:r>
            <w:r w:rsidR="00187305" w:rsidRPr="009E653A">
              <w:rPr>
                <w:noProof/>
                <w:vanish/>
                <w:sz w:val="20"/>
                <w:szCs w:val="20"/>
                <w:highlight w:val="cyan"/>
                <w:lang w:val="en-GB"/>
              </w:rPr>
              <w:t> </w:t>
            </w:r>
            <w:r w:rsidR="00187305" w:rsidRPr="009E653A">
              <w:rPr>
                <w:noProof/>
                <w:vanish/>
                <w:sz w:val="20"/>
                <w:szCs w:val="20"/>
                <w:highlight w:val="cyan"/>
                <w:lang w:val="en-GB"/>
              </w:rPr>
              <w:t> </w:t>
            </w:r>
            <w:r w:rsidRPr="009E653A">
              <w:rPr>
                <w:vanish/>
                <w:sz w:val="20"/>
                <w:szCs w:val="20"/>
                <w:highlight w:val="cyan"/>
                <w:lang w:val="en-GB"/>
              </w:rPr>
              <w:fldChar w:fldCharType="end"/>
            </w:r>
          </w:p>
        </w:tc>
      </w:tr>
      <w:tr w:rsidR="00187305" w:rsidRPr="00A030F3" w:rsidTr="00226C42">
        <w:trPr>
          <w:cantSplit/>
          <w:hidden/>
        </w:trPr>
        <w:tc>
          <w:tcPr>
            <w:tcW w:w="1154" w:type="pct"/>
          </w:tcPr>
          <w:p w:rsidR="00187305" w:rsidRPr="00A030F3" w:rsidRDefault="008478AA" w:rsidP="00BD1582">
            <w:pPr>
              <w:ind w:left="0"/>
              <w:contextualSpacing/>
              <w:rPr>
                <w:vanish/>
                <w:sz w:val="20"/>
                <w:szCs w:val="20"/>
                <w:lang w:val="en-GB"/>
              </w:rPr>
            </w:pPr>
            <w:r w:rsidRPr="00A030F3">
              <w:rPr>
                <w:vanish/>
                <w:sz w:val="20"/>
                <w:szCs w:val="20"/>
                <w:lang w:val="en-GB"/>
              </w:rPr>
              <w:fldChar w:fldCharType="begin">
                <w:ffData>
                  <w:name w:val="srcCofin_06"/>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00187305" w:rsidRPr="00A030F3">
              <w:rPr>
                <w:vanish/>
                <w:sz w:val="20"/>
                <w:szCs w:val="20"/>
                <w:lang w:val="en-GB"/>
              </w:rPr>
              <w:instrText xml:space="preserve"> FORMDROPDOWN </w:instrText>
            </w:r>
            <w:r w:rsidR="00A46689">
              <w:rPr>
                <w:vanish/>
                <w:sz w:val="20"/>
                <w:szCs w:val="20"/>
                <w:lang w:val="en-GB"/>
              </w:rPr>
            </w:r>
            <w:r w:rsidR="00A46689">
              <w:rPr>
                <w:vanish/>
                <w:sz w:val="20"/>
                <w:szCs w:val="20"/>
                <w:lang w:val="en-GB"/>
              </w:rPr>
              <w:fldChar w:fldCharType="separate"/>
            </w:r>
            <w:r w:rsidRPr="00A030F3">
              <w:rPr>
                <w:vanish/>
                <w:sz w:val="20"/>
                <w:szCs w:val="20"/>
                <w:lang w:val="en-GB"/>
              </w:rPr>
              <w:fldChar w:fldCharType="end"/>
            </w:r>
          </w:p>
        </w:tc>
        <w:tc>
          <w:tcPr>
            <w:tcW w:w="1744" w:type="pct"/>
          </w:tcPr>
          <w:p w:rsidR="00187305" w:rsidRPr="00A030F3" w:rsidRDefault="008478AA" w:rsidP="00BD1582">
            <w:pPr>
              <w:ind w:left="0"/>
              <w:contextualSpacing/>
              <w:rPr>
                <w:vanish/>
                <w:sz w:val="20"/>
                <w:szCs w:val="20"/>
                <w:lang w:val="en-GB"/>
              </w:rPr>
            </w:pPr>
            <w:r w:rsidRPr="00A030F3">
              <w:rPr>
                <w:vanish/>
                <w:sz w:val="20"/>
                <w:szCs w:val="20"/>
                <w:lang w:val="en-GB"/>
              </w:rPr>
              <w:fldChar w:fldCharType="begin">
                <w:ffData>
                  <w:name w:val="nameOfCofin_06"/>
                  <w:enabled/>
                  <w:calcOnExit w:val="0"/>
                  <w:textInput/>
                </w:ffData>
              </w:fldChar>
            </w:r>
            <w:r w:rsidR="00187305" w:rsidRPr="00A030F3">
              <w:rPr>
                <w:vanish/>
                <w:sz w:val="20"/>
                <w:szCs w:val="20"/>
                <w:lang w:val="en-GB"/>
              </w:rPr>
              <w:instrText xml:space="preserve"> FORMTEXT </w:instrText>
            </w:r>
            <w:r w:rsidRPr="00A030F3">
              <w:rPr>
                <w:vanish/>
                <w:sz w:val="20"/>
                <w:szCs w:val="20"/>
                <w:lang w:val="en-GB"/>
              </w:rPr>
            </w:r>
            <w:r w:rsidRPr="00A030F3">
              <w:rPr>
                <w:vanish/>
                <w:sz w:val="20"/>
                <w:szCs w:val="20"/>
                <w:lang w:val="en-GB"/>
              </w:rPr>
              <w:fldChar w:fldCharType="separate"/>
            </w:r>
            <w:r w:rsidR="00187305" w:rsidRPr="00A030F3">
              <w:rPr>
                <w:noProof/>
                <w:vanish/>
                <w:sz w:val="20"/>
                <w:szCs w:val="20"/>
                <w:lang w:val="en-GB"/>
              </w:rPr>
              <w:t> </w:t>
            </w:r>
            <w:r w:rsidR="00187305" w:rsidRPr="00A030F3">
              <w:rPr>
                <w:noProof/>
                <w:vanish/>
                <w:sz w:val="20"/>
                <w:szCs w:val="20"/>
                <w:lang w:val="en-GB"/>
              </w:rPr>
              <w:t> </w:t>
            </w:r>
            <w:r w:rsidR="00187305" w:rsidRPr="00A030F3">
              <w:rPr>
                <w:noProof/>
                <w:vanish/>
                <w:sz w:val="20"/>
                <w:szCs w:val="20"/>
                <w:lang w:val="en-GB"/>
              </w:rPr>
              <w:t> </w:t>
            </w:r>
            <w:r w:rsidR="00187305" w:rsidRPr="00A030F3">
              <w:rPr>
                <w:noProof/>
                <w:vanish/>
                <w:sz w:val="20"/>
                <w:szCs w:val="20"/>
                <w:lang w:val="en-GB"/>
              </w:rPr>
              <w:t> </w:t>
            </w:r>
            <w:r w:rsidR="00187305" w:rsidRPr="00A030F3">
              <w:rPr>
                <w:noProof/>
                <w:vanish/>
                <w:sz w:val="20"/>
                <w:szCs w:val="20"/>
                <w:lang w:val="en-GB"/>
              </w:rPr>
              <w:t> </w:t>
            </w:r>
            <w:r w:rsidRPr="00A030F3">
              <w:rPr>
                <w:vanish/>
                <w:sz w:val="20"/>
                <w:szCs w:val="20"/>
                <w:lang w:val="en-GB"/>
              </w:rPr>
              <w:fldChar w:fldCharType="end"/>
            </w:r>
          </w:p>
        </w:tc>
        <w:tc>
          <w:tcPr>
            <w:tcW w:w="1095" w:type="pct"/>
            <w:shd w:val="clear" w:color="auto" w:fill="auto"/>
          </w:tcPr>
          <w:p w:rsidR="00187305" w:rsidRPr="00A030F3" w:rsidRDefault="008478AA" w:rsidP="00BD1582">
            <w:pPr>
              <w:ind w:left="0"/>
              <w:contextualSpacing/>
              <w:rPr>
                <w:vanish/>
                <w:sz w:val="20"/>
                <w:szCs w:val="20"/>
                <w:lang w:val="en-GB"/>
              </w:rPr>
            </w:pPr>
            <w:r w:rsidRPr="00A030F3">
              <w:rPr>
                <w:vanish/>
                <w:sz w:val="20"/>
                <w:szCs w:val="20"/>
                <w:lang w:val="en-GB"/>
              </w:rPr>
              <w:fldChar w:fldCharType="begin">
                <w:ffData>
                  <w:name w:val="CofinType_06"/>
                  <w:enabled/>
                  <w:calcOnExit w:val="0"/>
                  <w:ddList>
                    <w:listEntry w:val="(select)"/>
                    <w:listEntry w:val="Grant"/>
                    <w:listEntry w:val="Soft Loan"/>
                    <w:listEntry w:val="Hard Loan"/>
                    <w:listEntry w:val="Guarantee"/>
                    <w:listEntry w:val="In-kind"/>
                    <w:listEntry w:val="Unknown at this stage"/>
                  </w:ddList>
                </w:ffData>
              </w:fldChar>
            </w:r>
            <w:r w:rsidR="00187305" w:rsidRPr="00A030F3">
              <w:rPr>
                <w:vanish/>
                <w:sz w:val="20"/>
                <w:szCs w:val="20"/>
                <w:lang w:val="en-GB"/>
              </w:rPr>
              <w:instrText xml:space="preserve"> FORMDROPDOWN </w:instrText>
            </w:r>
            <w:r w:rsidR="00A46689">
              <w:rPr>
                <w:vanish/>
                <w:sz w:val="20"/>
                <w:szCs w:val="20"/>
                <w:lang w:val="en-GB"/>
              </w:rPr>
            </w:r>
            <w:r w:rsidR="00A46689">
              <w:rPr>
                <w:vanish/>
                <w:sz w:val="20"/>
                <w:szCs w:val="20"/>
                <w:lang w:val="en-GB"/>
              </w:rPr>
              <w:fldChar w:fldCharType="separate"/>
            </w:r>
            <w:r w:rsidRPr="00A030F3">
              <w:rPr>
                <w:vanish/>
                <w:sz w:val="20"/>
                <w:szCs w:val="20"/>
                <w:lang w:val="en-GB"/>
              </w:rPr>
              <w:fldChar w:fldCharType="end"/>
            </w:r>
          </w:p>
        </w:tc>
        <w:tc>
          <w:tcPr>
            <w:tcW w:w="1007" w:type="pct"/>
            <w:shd w:val="clear" w:color="auto" w:fill="auto"/>
          </w:tcPr>
          <w:p w:rsidR="00187305" w:rsidRPr="009E653A" w:rsidRDefault="008478AA" w:rsidP="00BD1582">
            <w:pPr>
              <w:ind w:left="0"/>
              <w:contextualSpacing/>
              <w:jc w:val="right"/>
              <w:rPr>
                <w:vanish/>
                <w:sz w:val="20"/>
                <w:szCs w:val="20"/>
                <w:highlight w:val="cyan"/>
                <w:lang w:val="en-GB"/>
              </w:rPr>
            </w:pPr>
            <w:r w:rsidRPr="009E653A">
              <w:rPr>
                <w:vanish/>
                <w:sz w:val="20"/>
                <w:szCs w:val="20"/>
                <w:highlight w:val="cyan"/>
                <w:lang w:val="en-GB"/>
              </w:rPr>
              <w:fldChar w:fldCharType="begin">
                <w:ffData>
                  <w:name w:val="CofinTotal_06"/>
                  <w:enabled/>
                  <w:calcOnExit w:val="0"/>
                  <w:textInput>
                    <w:type w:val="number"/>
                    <w:format w:val="0"/>
                  </w:textInput>
                </w:ffData>
              </w:fldChar>
            </w:r>
            <w:r w:rsidR="00187305" w:rsidRPr="009E653A">
              <w:rPr>
                <w:vanish/>
                <w:sz w:val="20"/>
                <w:szCs w:val="20"/>
                <w:highlight w:val="cyan"/>
                <w:lang w:val="en-GB"/>
              </w:rPr>
              <w:instrText xml:space="preserve"> FORMTEXT </w:instrText>
            </w:r>
            <w:r w:rsidRPr="009E653A">
              <w:rPr>
                <w:vanish/>
                <w:sz w:val="20"/>
                <w:szCs w:val="20"/>
                <w:highlight w:val="cyan"/>
                <w:lang w:val="en-GB"/>
              </w:rPr>
            </w:r>
            <w:r w:rsidRPr="009E653A">
              <w:rPr>
                <w:vanish/>
                <w:sz w:val="20"/>
                <w:szCs w:val="20"/>
                <w:highlight w:val="cyan"/>
                <w:lang w:val="en-GB"/>
              </w:rPr>
              <w:fldChar w:fldCharType="separate"/>
            </w:r>
            <w:r w:rsidR="00187305" w:rsidRPr="009E653A">
              <w:rPr>
                <w:noProof/>
                <w:vanish/>
                <w:sz w:val="20"/>
                <w:szCs w:val="20"/>
                <w:highlight w:val="cyan"/>
                <w:lang w:val="en-GB"/>
              </w:rPr>
              <w:t> </w:t>
            </w:r>
            <w:r w:rsidR="00187305" w:rsidRPr="009E653A">
              <w:rPr>
                <w:noProof/>
                <w:vanish/>
                <w:sz w:val="20"/>
                <w:szCs w:val="20"/>
                <w:highlight w:val="cyan"/>
                <w:lang w:val="en-GB"/>
              </w:rPr>
              <w:t> </w:t>
            </w:r>
            <w:r w:rsidR="00187305" w:rsidRPr="009E653A">
              <w:rPr>
                <w:noProof/>
                <w:vanish/>
                <w:sz w:val="20"/>
                <w:szCs w:val="20"/>
                <w:highlight w:val="cyan"/>
                <w:lang w:val="en-GB"/>
              </w:rPr>
              <w:t> </w:t>
            </w:r>
            <w:r w:rsidR="00187305" w:rsidRPr="009E653A">
              <w:rPr>
                <w:noProof/>
                <w:vanish/>
                <w:sz w:val="20"/>
                <w:szCs w:val="20"/>
                <w:highlight w:val="cyan"/>
                <w:lang w:val="en-GB"/>
              </w:rPr>
              <w:t> </w:t>
            </w:r>
            <w:r w:rsidR="00187305" w:rsidRPr="009E653A">
              <w:rPr>
                <w:noProof/>
                <w:vanish/>
                <w:sz w:val="20"/>
                <w:szCs w:val="20"/>
                <w:highlight w:val="cyan"/>
                <w:lang w:val="en-GB"/>
              </w:rPr>
              <w:t> </w:t>
            </w:r>
            <w:r w:rsidRPr="009E653A">
              <w:rPr>
                <w:vanish/>
                <w:sz w:val="20"/>
                <w:szCs w:val="20"/>
                <w:highlight w:val="cyan"/>
                <w:lang w:val="en-GB"/>
              </w:rPr>
              <w:fldChar w:fldCharType="end"/>
            </w:r>
          </w:p>
        </w:tc>
      </w:tr>
      <w:tr w:rsidR="00187305" w:rsidRPr="00A030F3" w:rsidTr="00CF4CE6">
        <w:trPr>
          <w:cantSplit/>
        </w:trPr>
        <w:tc>
          <w:tcPr>
            <w:tcW w:w="1154" w:type="pct"/>
            <w:tcBorders>
              <w:top w:val="double" w:sz="4" w:space="0" w:color="auto"/>
              <w:bottom w:val="double" w:sz="4" w:space="0" w:color="auto"/>
            </w:tcBorders>
          </w:tcPr>
          <w:p w:rsidR="00187305" w:rsidRPr="00A030F3" w:rsidRDefault="00187305" w:rsidP="00BD1582">
            <w:pPr>
              <w:ind w:left="0"/>
              <w:contextualSpacing/>
              <w:rPr>
                <w:b/>
                <w:sz w:val="20"/>
                <w:szCs w:val="20"/>
                <w:lang w:val="en-GB"/>
              </w:rPr>
            </w:pPr>
            <w:r w:rsidRPr="00A030F3">
              <w:rPr>
                <w:b/>
                <w:sz w:val="20"/>
                <w:szCs w:val="20"/>
                <w:lang w:val="en-GB"/>
              </w:rPr>
              <w:t>Total Co-financing</w:t>
            </w:r>
          </w:p>
        </w:tc>
        <w:tc>
          <w:tcPr>
            <w:tcW w:w="1744" w:type="pct"/>
            <w:tcBorders>
              <w:top w:val="double" w:sz="4" w:space="0" w:color="auto"/>
              <w:bottom w:val="double" w:sz="4" w:space="0" w:color="auto"/>
            </w:tcBorders>
            <w:shd w:val="clear" w:color="auto" w:fill="auto"/>
          </w:tcPr>
          <w:p w:rsidR="00187305" w:rsidRPr="00A030F3" w:rsidRDefault="00187305" w:rsidP="00BD1582">
            <w:pPr>
              <w:ind w:left="0"/>
              <w:contextualSpacing/>
              <w:jc w:val="right"/>
              <w:rPr>
                <w:sz w:val="20"/>
                <w:szCs w:val="20"/>
                <w:lang w:val="en-GB"/>
              </w:rPr>
            </w:pPr>
          </w:p>
        </w:tc>
        <w:tc>
          <w:tcPr>
            <w:tcW w:w="1095" w:type="pct"/>
            <w:tcBorders>
              <w:top w:val="double" w:sz="4" w:space="0" w:color="auto"/>
              <w:bottom w:val="double" w:sz="4" w:space="0" w:color="auto"/>
            </w:tcBorders>
            <w:shd w:val="clear" w:color="auto" w:fill="auto"/>
          </w:tcPr>
          <w:p w:rsidR="00187305" w:rsidRPr="00A030F3" w:rsidRDefault="00187305" w:rsidP="00BD1582">
            <w:pPr>
              <w:ind w:left="0"/>
              <w:contextualSpacing/>
              <w:jc w:val="right"/>
              <w:rPr>
                <w:sz w:val="20"/>
                <w:szCs w:val="20"/>
                <w:lang w:val="en-GB"/>
              </w:rPr>
            </w:pPr>
          </w:p>
        </w:tc>
        <w:tc>
          <w:tcPr>
            <w:tcW w:w="1007" w:type="pct"/>
            <w:tcBorders>
              <w:top w:val="double" w:sz="4" w:space="0" w:color="auto"/>
              <w:bottom w:val="double" w:sz="4" w:space="0" w:color="auto"/>
            </w:tcBorders>
            <w:shd w:val="clear" w:color="auto" w:fill="auto"/>
          </w:tcPr>
          <w:p w:rsidR="00187305" w:rsidRPr="009E653A" w:rsidRDefault="007314C9" w:rsidP="00BD1582">
            <w:pPr>
              <w:ind w:left="0"/>
              <w:contextualSpacing/>
              <w:jc w:val="right"/>
              <w:rPr>
                <w:b/>
                <w:sz w:val="20"/>
                <w:szCs w:val="20"/>
                <w:highlight w:val="cyan"/>
                <w:lang w:val="en-GB"/>
              </w:rPr>
            </w:pPr>
            <w:r w:rsidRPr="009E653A">
              <w:rPr>
                <w:b/>
                <w:sz w:val="20"/>
                <w:szCs w:val="20"/>
                <w:lang w:val="en-GB"/>
              </w:rPr>
              <w:t>11,6</w:t>
            </w:r>
            <w:r w:rsidR="004239C2" w:rsidRPr="009E653A">
              <w:rPr>
                <w:b/>
                <w:sz w:val="20"/>
                <w:szCs w:val="20"/>
                <w:lang w:val="en-GB"/>
              </w:rPr>
              <w:t>1</w:t>
            </w:r>
            <w:r w:rsidR="00394327" w:rsidRPr="009E653A">
              <w:rPr>
                <w:b/>
                <w:sz w:val="20"/>
                <w:szCs w:val="20"/>
                <w:lang w:val="en-GB"/>
              </w:rPr>
              <w:t>0,000</w:t>
            </w:r>
          </w:p>
        </w:tc>
      </w:tr>
    </w:tbl>
    <w:p w:rsidR="00A806C9" w:rsidRPr="00A030F3" w:rsidRDefault="00A806C9" w:rsidP="00A806C9">
      <w:pPr>
        <w:pStyle w:val="Footer"/>
        <w:tabs>
          <w:tab w:val="clear" w:pos="4320"/>
          <w:tab w:val="clear" w:pos="8640"/>
        </w:tabs>
        <w:ind w:left="0"/>
        <w:contextualSpacing/>
        <w:outlineLvl w:val="0"/>
        <w:rPr>
          <w:b/>
          <w:smallCaps/>
          <w:sz w:val="22"/>
          <w:szCs w:val="22"/>
          <w:lang w:val="en-GB"/>
        </w:rPr>
      </w:pPr>
    </w:p>
    <w:p w:rsidR="00276471" w:rsidRPr="001E2420" w:rsidRDefault="00604ACF" w:rsidP="00A806C9">
      <w:pPr>
        <w:pStyle w:val="Footer"/>
        <w:tabs>
          <w:tab w:val="clear" w:pos="4320"/>
          <w:tab w:val="clear" w:pos="8640"/>
        </w:tabs>
        <w:ind w:left="0"/>
        <w:contextualSpacing/>
        <w:outlineLvl w:val="0"/>
        <w:rPr>
          <w:b/>
          <w:smallCaps/>
          <w:sz w:val="22"/>
          <w:szCs w:val="22"/>
          <w:lang w:val="en-GB"/>
        </w:rPr>
      </w:pPr>
      <w:r w:rsidRPr="001E2420">
        <w:rPr>
          <w:b/>
          <w:smallCaps/>
          <w:sz w:val="22"/>
          <w:szCs w:val="22"/>
          <w:lang w:val="en-GB"/>
        </w:rPr>
        <w:t xml:space="preserve">D.  </w:t>
      </w:r>
      <w:r w:rsidR="001F637A" w:rsidRPr="001E2420">
        <w:rPr>
          <w:b/>
          <w:smallCaps/>
          <w:sz w:val="22"/>
          <w:szCs w:val="22"/>
          <w:lang w:val="en-GB"/>
        </w:rPr>
        <w:t>T</w:t>
      </w:r>
      <w:r w:rsidRPr="001E2420">
        <w:rPr>
          <w:b/>
          <w:smallCaps/>
          <w:sz w:val="22"/>
          <w:szCs w:val="22"/>
          <w:lang w:val="en-GB"/>
        </w:rPr>
        <w:t xml:space="preserve">rust </w:t>
      </w:r>
      <w:r w:rsidR="001F637A" w:rsidRPr="001E2420">
        <w:rPr>
          <w:b/>
          <w:smallCaps/>
          <w:sz w:val="22"/>
          <w:szCs w:val="22"/>
          <w:lang w:val="en-GB"/>
        </w:rPr>
        <w:t xml:space="preserve">Fund </w:t>
      </w:r>
      <w:r w:rsidRPr="001E2420">
        <w:rPr>
          <w:b/>
          <w:smallCaps/>
          <w:sz w:val="22"/>
          <w:szCs w:val="22"/>
          <w:lang w:val="en-GB"/>
        </w:rPr>
        <w:t>Resources ($) Requested by Agency, Focal Area and Country</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273"/>
        <w:gridCol w:w="1844"/>
        <w:gridCol w:w="1702"/>
        <w:gridCol w:w="1574"/>
        <w:gridCol w:w="1417"/>
        <w:gridCol w:w="2107"/>
      </w:tblGrid>
      <w:tr w:rsidR="00D555F1" w:rsidRPr="001E2420" w:rsidTr="00D555F1">
        <w:trPr>
          <w:trHeight w:val="260"/>
        </w:trPr>
        <w:tc>
          <w:tcPr>
            <w:tcW w:w="514" w:type="pct"/>
            <w:shd w:val="clear" w:color="auto" w:fill="auto"/>
            <w:vAlign w:val="center"/>
          </w:tcPr>
          <w:p w:rsidR="00107376" w:rsidRPr="001E2420" w:rsidRDefault="00436AF0" w:rsidP="00A3719A">
            <w:pPr>
              <w:ind w:left="0"/>
              <w:contextualSpacing/>
              <w:jc w:val="center"/>
              <w:rPr>
                <w:rFonts w:ascii="Times New Roman Bold" w:hAnsi="Times New Roman Bold"/>
                <w:b/>
                <w:sz w:val="20"/>
                <w:szCs w:val="20"/>
                <w:lang w:val="en-GB"/>
              </w:rPr>
            </w:pPr>
            <w:r w:rsidRPr="001E2420">
              <w:rPr>
                <w:rFonts w:ascii="Times New Roman Bold" w:hAnsi="Times New Roman Bold"/>
                <w:b/>
                <w:sz w:val="20"/>
                <w:szCs w:val="20"/>
                <w:lang w:val="en-GB"/>
              </w:rPr>
              <w:t>GEF Agency</w:t>
            </w:r>
          </w:p>
        </w:tc>
        <w:tc>
          <w:tcPr>
            <w:tcW w:w="576" w:type="pct"/>
            <w:vAlign w:val="center"/>
          </w:tcPr>
          <w:p w:rsidR="00E77E17" w:rsidRPr="001E2420" w:rsidRDefault="00436AF0" w:rsidP="00A3719A">
            <w:pPr>
              <w:ind w:left="0"/>
              <w:contextualSpacing/>
              <w:jc w:val="center"/>
              <w:rPr>
                <w:rFonts w:ascii="Times New Roman Bold" w:hAnsi="Times New Roman Bold"/>
                <w:b/>
                <w:sz w:val="20"/>
                <w:szCs w:val="20"/>
                <w:lang w:val="en-GB"/>
              </w:rPr>
            </w:pPr>
            <w:r w:rsidRPr="001E2420">
              <w:rPr>
                <w:rFonts w:ascii="Times New Roman Bold" w:hAnsi="Times New Roman Bold"/>
                <w:b/>
                <w:sz w:val="20"/>
                <w:szCs w:val="20"/>
                <w:lang w:val="en-GB"/>
              </w:rPr>
              <w:t xml:space="preserve">Type of </w:t>
            </w:r>
          </w:p>
          <w:p w:rsidR="00107376" w:rsidRPr="001E2420" w:rsidRDefault="00436AF0" w:rsidP="00A3719A">
            <w:pPr>
              <w:ind w:left="0"/>
              <w:contextualSpacing/>
              <w:jc w:val="center"/>
              <w:rPr>
                <w:rFonts w:ascii="Times New Roman Bold" w:hAnsi="Times New Roman Bold"/>
                <w:b/>
                <w:sz w:val="20"/>
                <w:szCs w:val="20"/>
                <w:lang w:val="en-GB"/>
              </w:rPr>
            </w:pPr>
            <w:r w:rsidRPr="001E2420">
              <w:rPr>
                <w:rFonts w:ascii="Times New Roman Bold" w:hAnsi="Times New Roman Bold"/>
                <w:b/>
                <w:sz w:val="20"/>
                <w:szCs w:val="20"/>
                <w:lang w:val="en-GB"/>
              </w:rPr>
              <w:t>Trust Fund</w:t>
            </w:r>
          </w:p>
        </w:tc>
        <w:tc>
          <w:tcPr>
            <w:tcW w:w="834" w:type="pct"/>
            <w:shd w:val="clear" w:color="auto" w:fill="auto"/>
            <w:vAlign w:val="center"/>
          </w:tcPr>
          <w:p w:rsidR="00107376" w:rsidRPr="001E2420" w:rsidRDefault="007441D9" w:rsidP="00A3719A">
            <w:pPr>
              <w:ind w:left="0"/>
              <w:contextualSpacing/>
              <w:jc w:val="center"/>
              <w:rPr>
                <w:rFonts w:ascii="Times New Roman Bold" w:hAnsi="Times New Roman Bold"/>
                <w:b/>
                <w:sz w:val="20"/>
                <w:szCs w:val="20"/>
                <w:lang w:val="en-GB"/>
              </w:rPr>
            </w:pPr>
            <w:r w:rsidRPr="001E2420">
              <w:rPr>
                <w:rFonts w:ascii="Times New Roman Bold" w:hAnsi="Times New Roman Bold"/>
                <w:b/>
                <w:sz w:val="20"/>
                <w:szCs w:val="20"/>
                <w:lang w:val="en-GB"/>
              </w:rPr>
              <w:t>Focal A</w:t>
            </w:r>
            <w:r w:rsidR="00436AF0" w:rsidRPr="001E2420">
              <w:rPr>
                <w:rFonts w:ascii="Times New Roman Bold" w:hAnsi="Times New Roman Bold"/>
                <w:b/>
                <w:sz w:val="20"/>
                <w:szCs w:val="20"/>
                <w:lang w:val="en-GB"/>
              </w:rPr>
              <w:t>rea</w:t>
            </w:r>
          </w:p>
        </w:tc>
        <w:tc>
          <w:tcPr>
            <w:tcW w:w="770" w:type="pct"/>
            <w:shd w:val="clear" w:color="auto" w:fill="auto"/>
            <w:vAlign w:val="center"/>
          </w:tcPr>
          <w:p w:rsidR="00E77E17" w:rsidRPr="001E2420" w:rsidRDefault="007441D9" w:rsidP="00A3719A">
            <w:pPr>
              <w:ind w:left="0"/>
              <w:contextualSpacing/>
              <w:jc w:val="center"/>
              <w:rPr>
                <w:b/>
                <w:sz w:val="20"/>
                <w:szCs w:val="20"/>
                <w:lang w:val="en-GB"/>
              </w:rPr>
            </w:pPr>
            <w:r w:rsidRPr="001E2420">
              <w:rPr>
                <w:b/>
                <w:sz w:val="20"/>
                <w:szCs w:val="20"/>
                <w:lang w:val="en-GB"/>
              </w:rPr>
              <w:t>Country N</w:t>
            </w:r>
            <w:r w:rsidR="00436AF0" w:rsidRPr="001E2420">
              <w:rPr>
                <w:b/>
                <w:sz w:val="20"/>
                <w:szCs w:val="20"/>
                <w:lang w:val="en-GB"/>
              </w:rPr>
              <w:t>ame/</w:t>
            </w:r>
          </w:p>
          <w:p w:rsidR="00107376" w:rsidRPr="001E2420" w:rsidRDefault="00436AF0" w:rsidP="00A3719A">
            <w:pPr>
              <w:ind w:left="0"/>
              <w:contextualSpacing/>
              <w:jc w:val="center"/>
              <w:rPr>
                <w:b/>
                <w:sz w:val="20"/>
                <w:szCs w:val="20"/>
                <w:lang w:val="en-GB"/>
              </w:rPr>
            </w:pPr>
            <w:r w:rsidRPr="001E2420">
              <w:rPr>
                <w:b/>
                <w:sz w:val="20"/>
                <w:szCs w:val="20"/>
                <w:lang w:val="en-GB"/>
              </w:rPr>
              <w:t>Global</w:t>
            </w:r>
          </w:p>
        </w:tc>
        <w:tc>
          <w:tcPr>
            <w:tcW w:w="712" w:type="pct"/>
            <w:shd w:val="clear" w:color="auto" w:fill="auto"/>
            <w:vAlign w:val="center"/>
          </w:tcPr>
          <w:p w:rsidR="00107376" w:rsidRPr="001E2420" w:rsidRDefault="007441D9" w:rsidP="00A3719A">
            <w:pPr>
              <w:ind w:left="0"/>
              <w:contextualSpacing/>
              <w:jc w:val="center"/>
              <w:rPr>
                <w:b/>
                <w:sz w:val="20"/>
                <w:szCs w:val="20"/>
                <w:lang w:val="en-GB"/>
              </w:rPr>
            </w:pPr>
            <w:r w:rsidRPr="001E2420">
              <w:rPr>
                <w:b/>
                <w:sz w:val="20"/>
                <w:szCs w:val="20"/>
                <w:lang w:val="en-GB"/>
              </w:rPr>
              <w:t>Grant A</w:t>
            </w:r>
            <w:r w:rsidR="00107376" w:rsidRPr="001E2420">
              <w:rPr>
                <w:b/>
                <w:sz w:val="20"/>
                <w:szCs w:val="20"/>
                <w:lang w:val="en-GB"/>
              </w:rPr>
              <w:t xml:space="preserve">mount </w:t>
            </w:r>
            <w:r w:rsidR="00667450" w:rsidRPr="001E2420">
              <w:rPr>
                <w:b/>
                <w:smallCaps/>
                <w:sz w:val="20"/>
                <w:szCs w:val="20"/>
                <w:lang w:val="en-GB"/>
              </w:rPr>
              <w:t>($)</w:t>
            </w:r>
            <w:r w:rsidR="00B52149" w:rsidRPr="001E2420">
              <w:rPr>
                <w:b/>
                <w:smallCaps/>
                <w:sz w:val="20"/>
                <w:szCs w:val="20"/>
                <w:lang w:val="en-GB"/>
              </w:rPr>
              <w:t xml:space="preserve"> </w:t>
            </w:r>
            <w:r w:rsidR="00107376" w:rsidRPr="001E2420">
              <w:rPr>
                <w:b/>
                <w:sz w:val="20"/>
                <w:szCs w:val="20"/>
                <w:lang w:val="en-GB"/>
              </w:rPr>
              <w:t>(a)</w:t>
            </w:r>
          </w:p>
        </w:tc>
        <w:tc>
          <w:tcPr>
            <w:tcW w:w="641" w:type="pct"/>
            <w:shd w:val="clear" w:color="auto" w:fill="auto"/>
            <w:vAlign w:val="center"/>
          </w:tcPr>
          <w:p w:rsidR="00B52149" w:rsidRPr="001E2420" w:rsidRDefault="00740BE6" w:rsidP="00B52149">
            <w:pPr>
              <w:ind w:left="0"/>
              <w:contextualSpacing/>
              <w:jc w:val="center"/>
              <w:rPr>
                <w:b/>
                <w:sz w:val="20"/>
                <w:szCs w:val="20"/>
                <w:lang w:val="en-GB"/>
              </w:rPr>
            </w:pPr>
            <w:r w:rsidRPr="001E2420">
              <w:rPr>
                <w:b/>
                <w:sz w:val="20"/>
                <w:szCs w:val="20"/>
                <w:lang w:val="en-GB"/>
              </w:rPr>
              <w:t>Agency</w:t>
            </w:r>
            <w:r w:rsidR="00B52149" w:rsidRPr="001E2420">
              <w:rPr>
                <w:b/>
                <w:sz w:val="20"/>
                <w:szCs w:val="20"/>
                <w:lang w:val="en-GB"/>
              </w:rPr>
              <w:t xml:space="preserve"> </w:t>
            </w:r>
            <w:r w:rsidRPr="001E2420">
              <w:rPr>
                <w:b/>
                <w:sz w:val="20"/>
                <w:szCs w:val="20"/>
                <w:lang w:val="en-GB"/>
              </w:rPr>
              <w:t>Fee</w:t>
            </w:r>
          </w:p>
          <w:p w:rsidR="00107376" w:rsidRPr="001E2420" w:rsidRDefault="00740BE6" w:rsidP="00B52149">
            <w:pPr>
              <w:ind w:left="0"/>
              <w:contextualSpacing/>
              <w:jc w:val="center"/>
              <w:rPr>
                <w:b/>
                <w:sz w:val="20"/>
                <w:szCs w:val="20"/>
                <w:lang w:val="en-GB"/>
              </w:rPr>
            </w:pPr>
            <w:r w:rsidRPr="001E2420">
              <w:rPr>
                <w:b/>
                <w:smallCaps/>
                <w:sz w:val="20"/>
                <w:szCs w:val="20"/>
                <w:lang w:val="en-GB"/>
              </w:rPr>
              <w:t>($)</w:t>
            </w:r>
            <w:r w:rsidR="00B52149" w:rsidRPr="001E2420">
              <w:rPr>
                <w:b/>
                <w:sz w:val="20"/>
                <w:szCs w:val="20"/>
                <w:lang w:val="en-GB"/>
              </w:rPr>
              <w:t xml:space="preserve"> </w:t>
            </w:r>
            <w:r w:rsidRPr="001E2420">
              <w:rPr>
                <w:b/>
                <w:sz w:val="20"/>
                <w:szCs w:val="20"/>
                <w:lang w:val="en-GB"/>
              </w:rPr>
              <w:t>(b</w:t>
            </w:r>
            <w:r w:rsidR="00107376" w:rsidRPr="001E2420">
              <w:rPr>
                <w:b/>
                <w:sz w:val="20"/>
                <w:szCs w:val="20"/>
                <w:lang w:val="en-GB"/>
              </w:rPr>
              <w:t>)</w:t>
            </w:r>
            <w:r w:rsidR="00107376" w:rsidRPr="001E2420">
              <w:rPr>
                <w:b/>
                <w:sz w:val="20"/>
                <w:szCs w:val="20"/>
                <w:vertAlign w:val="superscript"/>
                <w:lang w:val="en-GB"/>
              </w:rPr>
              <w:t>2</w:t>
            </w:r>
          </w:p>
        </w:tc>
        <w:tc>
          <w:tcPr>
            <w:tcW w:w="953" w:type="pct"/>
            <w:shd w:val="clear" w:color="auto" w:fill="auto"/>
            <w:vAlign w:val="center"/>
          </w:tcPr>
          <w:p w:rsidR="005025E4" w:rsidRPr="001E2420" w:rsidRDefault="00107376" w:rsidP="00A3719A">
            <w:pPr>
              <w:ind w:left="0"/>
              <w:contextualSpacing/>
              <w:jc w:val="center"/>
              <w:rPr>
                <w:b/>
                <w:smallCaps/>
                <w:sz w:val="20"/>
                <w:szCs w:val="20"/>
                <w:lang w:val="en-GB"/>
              </w:rPr>
            </w:pPr>
            <w:r w:rsidRPr="001E2420">
              <w:rPr>
                <w:b/>
                <w:sz w:val="20"/>
                <w:szCs w:val="20"/>
                <w:lang w:val="en-GB"/>
              </w:rPr>
              <w:t xml:space="preserve">Total </w:t>
            </w:r>
            <w:r w:rsidR="00667450" w:rsidRPr="001E2420">
              <w:rPr>
                <w:b/>
                <w:smallCaps/>
                <w:sz w:val="20"/>
                <w:szCs w:val="20"/>
                <w:lang w:val="en-GB"/>
              </w:rPr>
              <w:t>($)</w:t>
            </w:r>
          </w:p>
          <w:p w:rsidR="00107376" w:rsidRPr="001E2420" w:rsidRDefault="00107376" w:rsidP="00A3719A">
            <w:pPr>
              <w:ind w:left="0"/>
              <w:contextualSpacing/>
              <w:jc w:val="center"/>
              <w:rPr>
                <w:b/>
                <w:sz w:val="20"/>
                <w:szCs w:val="20"/>
                <w:lang w:val="en-GB"/>
              </w:rPr>
            </w:pPr>
            <w:r w:rsidRPr="001E2420">
              <w:rPr>
                <w:b/>
                <w:sz w:val="20"/>
                <w:szCs w:val="20"/>
                <w:lang w:val="en-GB"/>
              </w:rPr>
              <w:t>c=a+b</w:t>
            </w:r>
          </w:p>
        </w:tc>
      </w:tr>
      <w:tr w:rsidR="00D555F1" w:rsidRPr="001E2420" w:rsidTr="00D555F1">
        <w:trPr>
          <w:trHeight w:val="253"/>
        </w:trPr>
        <w:tc>
          <w:tcPr>
            <w:tcW w:w="514" w:type="pct"/>
            <w:shd w:val="clear" w:color="auto" w:fill="auto"/>
          </w:tcPr>
          <w:p w:rsidR="00DE3CD6" w:rsidRPr="001E2420" w:rsidRDefault="00DE3CD6" w:rsidP="00A3719A">
            <w:pPr>
              <w:ind w:left="0"/>
              <w:contextualSpacing/>
              <w:jc w:val="center"/>
              <w:rPr>
                <w:sz w:val="20"/>
                <w:szCs w:val="20"/>
                <w:lang w:val="en-GB"/>
              </w:rPr>
            </w:pPr>
            <w:r w:rsidRPr="001E2420">
              <w:rPr>
                <w:sz w:val="20"/>
                <w:szCs w:val="20"/>
                <w:lang w:val="en-GB"/>
              </w:rPr>
              <w:t>UNDP</w:t>
            </w:r>
          </w:p>
        </w:tc>
        <w:tc>
          <w:tcPr>
            <w:tcW w:w="576" w:type="pct"/>
          </w:tcPr>
          <w:p w:rsidR="00DE3CD6" w:rsidRPr="001E2420" w:rsidRDefault="00DE3CD6" w:rsidP="00A3719A">
            <w:pPr>
              <w:ind w:left="0"/>
              <w:contextualSpacing/>
              <w:jc w:val="center"/>
              <w:rPr>
                <w:sz w:val="20"/>
                <w:szCs w:val="20"/>
                <w:lang w:val="en-GB"/>
              </w:rPr>
            </w:pPr>
            <w:r w:rsidRPr="001E2420">
              <w:rPr>
                <w:sz w:val="20"/>
                <w:szCs w:val="20"/>
                <w:lang w:val="en-GB"/>
              </w:rPr>
              <w:t>GEF</w:t>
            </w:r>
            <w:r w:rsidR="00205F9E" w:rsidRPr="001E2420">
              <w:rPr>
                <w:sz w:val="20"/>
                <w:szCs w:val="20"/>
                <w:lang w:val="en-GB"/>
              </w:rPr>
              <w:t>-TF</w:t>
            </w:r>
          </w:p>
        </w:tc>
        <w:tc>
          <w:tcPr>
            <w:tcW w:w="834" w:type="pct"/>
            <w:shd w:val="clear" w:color="auto" w:fill="auto"/>
          </w:tcPr>
          <w:p w:rsidR="00DE3CD6" w:rsidRPr="001E2420" w:rsidRDefault="00DE3CD6" w:rsidP="00A3719A">
            <w:pPr>
              <w:ind w:left="0"/>
              <w:contextualSpacing/>
              <w:jc w:val="center"/>
              <w:rPr>
                <w:sz w:val="20"/>
                <w:szCs w:val="20"/>
                <w:lang w:val="en-GB"/>
              </w:rPr>
            </w:pPr>
            <w:r w:rsidRPr="001E2420">
              <w:rPr>
                <w:sz w:val="20"/>
                <w:szCs w:val="20"/>
                <w:lang w:val="en-GB"/>
              </w:rPr>
              <w:t>B</w:t>
            </w:r>
            <w:r w:rsidR="00D555F1" w:rsidRPr="001E2420">
              <w:rPr>
                <w:sz w:val="20"/>
                <w:szCs w:val="20"/>
                <w:lang w:val="en-GB"/>
              </w:rPr>
              <w:t>iodiversity</w:t>
            </w:r>
          </w:p>
        </w:tc>
        <w:tc>
          <w:tcPr>
            <w:tcW w:w="770" w:type="pct"/>
            <w:shd w:val="clear" w:color="auto" w:fill="auto"/>
          </w:tcPr>
          <w:p w:rsidR="00DE3CD6" w:rsidRPr="001E2420" w:rsidRDefault="00DE3CD6" w:rsidP="00A3719A">
            <w:pPr>
              <w:ind w:left="0"/>
              <w:contextualSpacing/>
              <w:rPr>
                <w:sz w:val="20"/>
                <w:szCs w:val="20"/>
                <w:lang w:val="en-GB"/>
              </w:rPr>
            </w:pPr>
            <w:r w:rsidRPr="001E2420">
              <w:rPr>
                <w:sz w:val="20"/>
                <w:szCs w:val="20"/>
                <w:lang w:val="en-GB"/>
              </w:rPr>
              <w:t>Guinea</w:t>
            </w:r>
            <w:r w:rsidR="00205F9E" w:rsidRPr="001E2420">
              <w:rPr>
                <w:sz w:val="20"/>
                <w:szCs w:val="20"/>
                <w:lang w:val="en-GB"/>
              </w:rPr>
              <w:t>-</w:t>
            </w:r>
            <w:r w:rsidRPr="001E2420">
              <w:rPr>
                <w:sz w:val="20"/>
                <w:szCs w:val="20"/>
                <w:lang w:val="en-GB"/>
              </w:rPr>
              <w:t>Bissau</w:t>
            </w:r>
          </w:p>
        </w:tc>
        <w:tc>
          <w:tcPr>
            <w:tcW w:w="712" w:type="pct"/>
            <w:shd w:val="clear" w:color="auto" w:fill="auto"/>
          </w:tcPr>
          <w:p w:rsidR="00DE3CD6" w:rsidRPr="001E2420" w:rsidRDefault="00DE3CD6" w:rsidP="00CB45E7">
            <w:pPr>
              <w:ind w:left="0"/>
              <w:contextualSpacing/>
              <w:jc w:val="right"/>
              <w:rPr>
                <w:sz w:val="20"/>
                <w:szCs w:val="20"/>
                <w:lang w:val="en-GB"/>
              </w:rPr>
            </w:pPr>
            <w:r w:rsidRPr="001E2420">
              <w:rPr>
                <w:sz w:val="20"/>
                <w:szCs w:val="20"/>
                <w:lang w:val="en-GB"/>
              </w:rPr>
              <w:t>1,421,187</w:t>
            </w:r>
          </w:p>
        </w:tc>
        <w:tc>
          <w:tcPr>
            <w:tcW w:w="641" w:type="pct"/>
            <w:shd w:val="clear" w:color="auto" w:fill="auto"/>
          </w:tcPr>
          <w:p w:rsidR="00DE3CD6" w:rsidRPr="001E2420" w:rsidRDefault="00DE3CD6" w:rsidP="00CB45E7">
            <w:pPr>
              <w:ind w:left="0"/>
              <w:contextualSpacing/>
              <w:jc w:val="right"/>
              <w:rPr>
                <w:sz w:val="20"/>
                <w:szCs w:val="20"/>
                <w:lang w:val="en-GB"/>
              </w:rPr>
            </w:pPr>
            <w:r w:rsidRPr="001E2420">
              <w:rPr>
                <w:sz w:val="20"/>
                <w:szCs w:val="20"/>
                <w:lang w:val="en-GB"/>
              </w:rPr>
              <w:t>135,013</w:t>
            </w:r>
          </w:p>
        </w:tc>
        <w:tc>
          <w:tcPr>
            <w:tcW w:w="953" w:type="pct"/>
            <w:shd w:val="clear" w:color="auto" w:fill="auto"/>
          </w:tcPr>
          <w:p w:rsidR="00DE3CD6" w:rsidRPr="001E2420" w:rsidRDefault="00DE3CD6" w:rsidP="00CB45E7">
            <w:pPr>
              <w:ind w:left="0"/>
              <w:contextualSpacing/>
              <w:jc w:val="right"/>
              <w:rPr>
                <w:sz w:val="20"/>
                <w:szCs w:val="20"/>
                <w:lang w:val="en-GB"/>
              </w:rPr>
            </w:pPr>
            <w:r w:rsidRPr="001E2420">
              <w:rPr>
                <w:sz w:val="20"/>
                <w:szCs w:val="20"/>
                <w:lang w:val="en-GB"/>
              </w:rPr>
              <w:t>1,556,200</w:t>
            </w:r>
          </w:p>
        </w:tc>
      </w:tr>
      <w:tr w:rsidR="00D555F1" w:rsidRPr="001E2420" w:rsidTr="00D555F1">
        <w:trPr>
          <w:trHeight w:val="253"/>
        </w:trPr>
        <w:tc>
          <w:tcPr>
            <w:tcW w:w="514" w:type="pct"/>
            <w:shd w:val="clear" w:color="auto" w:fill="auto"/>
          </w:tcPr>
          <w:p w:rsidR="00DE3CD6" w:rsidRPr="001E2420" w:rsidRDefault="00DE3CD6" w:rsidP="00A3719A">
            <w:pPr>
              <w:ind w:left="0"/>
              <w:contextualSpacing/>
              <w:jc w:val="center"/>
              <w:rPr>
                <w:sz w:val="20"/>
                <w:szCs w:val="20"/>
                <w:lang w:val="en-GB"/>
              </w:rPr>
            </w:pPr>
            <w:r w:rsidRPr="001E2420">
              <w:rPr>
                <w:sz w:val="20"/>
                <w:szCs w:val="20"/>
                <w:lang w:val="en-GB"/>
              </w:rPr>
              <w:t>UNDP</w:t>
            </w:r>
          </w:p>
        </w:tc>
        <w:tc>
          <w:tcPr>
            <w:tcW w:w="576" w:type="pct"/>
          </w:tcPr>
          <w:p w:rsidR="00DE3CD6" w:rsidRPr="001E2420" w:rsidRDefault="00DE3CD6" w:rsidP="00A3719A">
            <w:pPr>
              <w:ind w:left="0"/>
              <w:contextualSpacing/>
              <w:jc w:val="center"/>
              <w:rPr>
                <w:sz w:val="20"/>
                <w:szCs w:val="20"/>
                <w:lang w:val="en-GB"/>
              </w:rPr>
            </w:pPr>
            <w:r w:rsidRPr="001E2420">
              <w:rPr>
                <w:sz w:val="20"/>
                <w:szCs w:val="20"/>
                <w:lang w:val="en-GB"/>
              </w:rPr>
              <w:t>GEF</w:t>
            </w:r>
            <w:r w:rsidR="00205F9E" w:rsidRPr="001E2420">
              <w:rPr>
                <w:sz w:val="20"/>
                <w:szCs w:val="20"/>
                <w:lang w:val="en-GB"/>
              </w:rPr>
              <w:t>-TF</w:t>
            </w:r>
          </w:p>
        </w:tc>
        <w:tc>
          <w:tcPr>
            <w:tcW w:w="834" w:type="pct"/>
            <w:shd w:val="clear" w:color="auto" w:fill="auto"/>
          </w:tcPr>
          <w:p w:rsidR="00DE3CD6" w:rsidRPr="001E2420" w:rsidRDefault="00D555F1" w:rsidP="00A3719A">
            <w:pPr>
              <w:ind w:left="0"/>
              <w:contextualSpacing/>
              <w:jc w:val="center"/>
              <w:rPr>
                <w:sz w:val="20"/>
                <w:szCs w:val="20"/>
                <w:lang w:val="en-GB"/>
              </w:rPr>
            </w:pPr>
            <w:r w:rsidRPr="001E2420">
              <w:rPr>
                <w:sz w:val="20"/>
                <w:szCs w:val="20"/>
                <w:lang w:val="en-GB"/>
              </w:rPr>
              <w:t>Land degradation</w:t>
            </w:r>
            <w:r w:rsidR="003E2AD2" w:rsidRPr="001E2420">
              <w:rPr>
                <w:sz w:val="20"/>
                <w:szCs w:val="20"/>
                <w:lang w:val="en-GB"/>
              </w:rPr>
              <w:t>*</w:t>
            </w:r>
          </w:p>
        </w:tc>
        <w:tc>
          <w:tcPr>
            <w:tcW w:w="770" w:type="pct"/>
            <w:shd w:val="clear" w:color="auto" w:fill="auto"/>
          </w:tcPr>
          <w:p w:rsidR="00DE3CD6" w:rsidRPr="001E2420" w:rsidRDefault="00463711" w:rsidP="00A3719A">
            <w:pPr>
              <w:ind w:left="0"/>
              <w:contextualSpacing/>
              <w:rPr>
                <w:sz w:val="20"/>
                <w:szCs w:val="20"/>
                <w:lang w:val="en-GB"/>
              </w:rPr>
            </w:pPr>
            <w:r w:rsidRPr="001E2420">
              <w:rPr>
                <w:sz w:val="20"/>
                <w:szCs w:val="20"/>
                <w:lang w:val="en-GB"/>
              </w:rPr>
              <w:t>Guinea-Bissau</w:t>
            </w:r>
          </w:p>
        </w:tc>
        <w:tc>
          <w:tcPr>
            <w:tcW w:w="712" w:type="pct"/>
            <w:shd w:val="clear" w:color="auto" w:fill="auto"/>
          </w:tcPr>
          <w:p w:rsidR="00DE3CD6" w:rsidRPr="001E2420" w:rsidRDefault="00DE3CD6" w:rsidP="00DE3CD6">
            <w:pPr>
              <w:ind w:left="0"/>
              <w:contextualSpacing/>
              <w:jc w:val="right"/>
              <w:rPr>
                <w:sz w:val="20"/>
                <w:szCs w:val="20"/>
                <w:lang w:val="en-GB"/>
              </w:rPr>
            </w:pPr>
            <w:r w:rsidRPr="001E2420">
              <w:rPr>
                <w:sz w:val="20"/>
                <w:szCs w:val="20"/>
                <w:lang w:val="en-GB"/>
              </w:rPr>
              <w:t>883,242</w:t>
            </w:r>
          </w:p>
        </w:tc>
        <w:tc>
          <w:tcPr>
            <w:tcW w:w="641" w:type="pct"/>
            <w:shd w:val="clear" w:color="auto" w:fill="auto"/>
          </w:tcPr>
          <w:p w:rsidR="00DE3CD6" w:rsidRPr="001E2420" w:rsidRDefault="00DE3CD6" w:rsidP="00A3719A">
            <w:pPr>
              <w:ind w:left="0"/>
              <w:contextualSpacing/>
              <w:jc w:val="right"/>
              <w:rPr>
                <w:sz w:val="20"/>
                <w:szCs w:val="20"/>
                <w:lang w:val="en-GB"/>
              </w:rPr>
            </w:pPr>
            <w:r w:rsidRPr="001E2420">
              <w:rPr>
                <w:sz w:val="20"/>
                <w:szCs w:val="20"/>
                <w:lang w:val="en-GB"/>
              </w:rPr>
              <w:t>83,908</w:t>
            </w:r>
          </w:p>
        </w:tc>
        <w:tc>
          <w:tcPr>
            <w:tcW w:w="953" w:type="pct"/>
            <w:shd w:val="clear" w:color="auto" w:fill="auto"/>
          </w:tcPr>
          <w:p w:rsidR="00DE3CD6" w:rsidRPr="001E2420" w:rsidRDefault="00DE3CD6" w:rsidP="00A3719A">
            <w:pPr>
              <w:ind w:left="0"/>
              <w:contextualSpacing/>
              <w:jc w:val="right"/>
              <w:rPr>
                <w:sz w:val="20"/>
                <w:szCs w:val="20"/>
                <w:lang w:val="en-GB"/>
              </w:rPr>
            </w:pPr>
            <w:r w:rsidRPr="001E2420">
              <w:rPr>
                <w:sz w:val="20"/>
                <w:szCs w:val="20"/>
                <w:lang w:val="en-GB"/>
              </w:rPr>
              <w:t>967,150</w:t>
            </w:r>
          </w:p>
        </w:tc>
      </w:tr>
      <w:tr w:rsidR="00D555F1" w:rsidRPr="00E37E06" w:rsidTr="00D555F1">
        <w:trPr>
          <w:trHeight w:val="253"/>
        </w:trPr>
        <w:tc>
          <w:tcPr>
            <w:tcW w:w="2694" w:type="pct"/>
            <w:gridSpan w:val="4"/>
            <w:tcBorders>
              <w:top w:val="double" w:sz="4" w:space="0" w:color="auto"/>
            </w:tcBorders>
          </w:tcPr>
          <w:p w:rsidR="00DE3CD6" w:rsidRPr="001E2420" w:rsidRDefault="00DE3CD6" w:rsidP="00A3719A">
            <w:pPr>
              <w:ind w:left="0"/>
              <w:contextualSpacing/>
              <w:rPr>
                <w:sz w:val="20"/>
                <w:szCs w:val="20"/>
                <w:lang w:val="en-GB"/>
              </w:rPr>
            </w:pPr>
            <w:r w:rsidRPr="001E2420">
              <w:rPr>
                <w:b/>
                <w:sz w:val="20"/>
                <w:szCs w:val="20"/>
                <w:lang w:val="en-GB"/>
              </w:rPr>
              <w:t>Total Grant Resources</w:t>
            </w:r>
          </w:p>
        </w:tc>
        <w:tc>
          <w:tcPr>
            <w:tcW w:w="712" w:type="pct"/>
            <w:tcBorders>
              <w:top w:val="double" w:sz="4" w:space="0" w:color="auto"/>
            </w:tcBorders>
            <w:shd w:val="clear" w:color="auto" w:fill="auto"/>
          </w:tcPr>
          <w:p w:rsidR="00DE3CD6" w:rsidRPr="001E2420" w:rsidRDefault="00DE3CD6" w:rsidP="00A3719A">
            <w:pPr>
              <w:ind w:left="0"/>
              <w:contextualSpacing/>
              <w:jc w:val="right"/>
              <w:rPr>
                <w:sz w:val="20"/>
                <w:szCs w:val="20"/>
                <w:lang w:val="en-GB"/>
              </w:rPr>
            </w:pPr>
            <w:r w:rsidRPr="001E2420">
              <w:rPr>
                <w:b/>
                <w:sz w:val="20"/>
                <w:szCs w:val="20"/>
                <w:lang w:val="en-GB"/>
              </w:rPr>
              <w:t>2,304,429</w:t>
            </w:r>
          </w:p>
        </w:tc>
        <w:tc>
          <w:tcPr>
            <w:tcW w:w="641" w:type="pct"/>
            <w:tcBorders>
              <w:top w:val="double" w:sz="4" w:space="0" w:color="auto"/>
            </w:tcBorders>
          </w:tcPr>
          <w:p w:rsidR="00DE3CD6" w:rsidRPr="001E2420" w:rsidRDefault="00DE3CD6" w:rsidP="00A3719A">
            <w:pPr>
              <w:ind w:left="0"/>
              <w:contextualSpacing/>
              <w:jc w:val="right"/>
              <w:rPr>
                <w:sz w:val="20"/>
                <w:szCs w:val="20"/>
                <w:lang w:val="en-GB"/>
              </w:rPr>
            </w:pPr>
            <w:r w:rsidRPr="001E2420">
              <w:rPr>
                <w:b/>
                <w:sz w:val="20"/>
                <w:szCs w:val="20"/>
                <w:lang w:val="en-GB"/>
              </w:rPr>
              <w:t>218,921</w:t>
            </w:r>
          </w:p>
        </w:tc>
        <w:tc>
          <w:tcPr>
            <w:tcW w:w="953" w:type="pct"/>
            <w:tcBorders>
              <w:top w:val="double" w:sz="4" w:space="0" w:color="auto"/>
            </w:tcBorders>
            <w:shd w:val="clear" w:color="auto" w:fill="auto"/>
          </w:tcPr>
          <w:p w:rsidR="00DE3CD6" w:rsidRPr="00E37E06" w:rsidRDefault="00DE3CD6" w:rsidP="00A3719A">
            <w:pPr>
              <w:ind w:left="0"/>
              <w:contextualSpacing/>
              <w:jc w:val="right"/>
              <w:rPr>
                <w:sz w:val="20"/>
                <w:szCs w:val="20"/>
                <w:lang w:val="en-GB"/>
              </w:rPr>
            </w:pPr>
            <w:r w:rsidRPr="001E2420">
              <w:rPr>
                <w:b/>
                <w:sz w:val="20"/>
                <w:szCs w:val="20"/>
                <w:lang w:val="en-GB"/>
              </w:rPr>
              <w:t>2,523,350</w:t>
            </w:r>
          </w:p>
        </w:tc>
      </w:tr>
    </w:tbl>
    <w:p w:rsidR="00D555F1" w:rsidRPr="001E2420" w:rsidRDefault="00D555F1" w:rsidP="00D555F1">
      <w:pPr>
        <w:ind w:left="0"/>
        <w:contextualSpacing/>
        <w:rPr>
          <w:b/>
          <w:sz w:val="18"/>
          <w:szCs w:val="18"/>
          <w:lang w:val="en-GB"/>
        </w:rPr>
      </w:pPr>
      <w:r w:rsidRPr="001E2420">
        <w:rPr>
          <w:b/>
          <w:sz w:val="18"/>
          <w:szCs w:val="18"/>
          <w:lang w:val="en-GB"/>
        </w:rPr>
        <w:t>*The Government wishes to apply the STAR flexibility mechanism</w:t>
      </w:r>
    </w:p>
    <w:p w:rsidR="00260966" w:rsidRPr="00A030F3" w:rsidRDefault="00260966" w:rsidP="00A806C9">
      <w:pPr>
        <w:pStyle w:val="Footer"/>
        <w:tabs>
          <w:tab w:val="clear" w:pos="4320"/>
          <w:tab w:val="clear" w:pos="8640"/>
        </w:tabs>
        <w:ind w:left="0"/>
        <w:contextualSpacing/>
        <w:rPr>
          <w:b/>
          <w:smallCaps/>
          <w:sz w:val="22"/>
          <w:szCs w:val="22"/>
          <w:lang w:val="en-GB"/>
        </w:rPr>
      </w:pPr>
    </w:p>
    <w:p w:rsidR="005E0463" w:rsidRPr="00B56A73" w:rsidRDefault="005E0463" w:rsidP="00A806C9">
      <w:pPr>
        <w:pStyle w:val="Footer"/>
        <w:tabs>
          <w:tab w:val="clear" w:pos="4320"/>
          <w:tab w:val="clear" w:pos="8640"/>
        </w:tabs>
        <w:ind w:left="0"/>
        <w:contextualSpacing/>
        <w:rPr>
          <w:sz w:val="18"/>
          <w:szCs w:val="18"/>
          <w:lang w:val="en-GB"/>
        </w:rPr>
      </w:pPr>
      <w:r w:rsidRPr="00B56A73">
        <w:rPr>
          <w:b/>
          <w:smallCaps/>
          <w:sz w:val="22"/>
          <w:szCs w:val="22"/>
          <w:lang w:val="en-GB"/>
        </w:rPr>
        <w:t xml:space="preserve">E.  Project </w:t>
      </w:r>
      <w:r w:rsidR="001F637A" w:rsidRPr="00B56A73">
        <w:rPr>
          <w:b/>
          <w:smallCaps/>
          <w:sz w:val="22"/>
          <w:szCs w:val="22"/>
          <w:lang w:val="en-GB"/>
        </w:rPr>
        <w:t>P</w:t>
      </w:r>
      <w:r w:rsidRPr="00B56A73">
        <w:rPr>
          <w:b/>
          <w:smallCaps/>
          <w:sz w:val="22"/>
          <w:szCs w:val="22"/>
          <w:lang w:val="en-GB"/>
        </w:rPr>
        <w:t xml:space="preserve">reparation </w:t>
      </w:r>
      <w:r w:rsidR="001F637A" w:rsidRPr="00B56A73">
        <w:rPr>
          <w:b/>
          <w:smallCaps/>
          <w:sz w:val="22"/>
          <w:szCs w:val="22"/>
          <w:lang w:val="en-GB"/>
        </w:rPr>
        <w:t>G</w:t>
      </w:r>
      <w:r w:rsidRPr="00B56A73">
        <w:rPr>
          <w:b/>
          <w:smallCaps/>
          <w:sz w:val="22"/>
          <w:szCs w:val="22"/>
          <w:lang w:val="en-GB"/>
        </w:rPr>
        <w:t>rant (</w:t>
      </w:r>
      <w:r w:rsidR="001F637A" w:rsidRPr="00B56A73">
        <w:rPr>
          <w:b/>
          <w:smallCaps/>
          <w:sz w:val="22"/>
          <w:szCs w:val="22"/>
          <w:lang w:val="en-GB"/>
        </w:rPr>
        <w:t>PPG</w:t>
      </w:r>
      <w:r w:rsidRPr="00B56A73">
        <w:rPr>
          <w:b/>
          <w:smallCaps/>
          <w:sz w:val="22"/>
          <w:szCs w:val="22"/>
          <w:lang w:val="en-GB"/>
        </w:rPr>
        <w:t>)</w:t>
      </w:r>
    </w:p>
    <w:p w:rsidR="00AC08E5" w:rsidRDefault="00181537" w:rsidP="00A806C9">
      <w:pPr>
        <w:pStyle w:val="Footer"/>
        <w:ind w:left="0"/>
        <w:contextualSpacing/>
        <w:rPr>
          <w:sz w:val="22"/>
          <w:szCs w:val="22"/>
          <w:lang w:val="en-GB"/>
        </w:rPr>
      </w:pPr>
      <w:r w:rsidRPr="00B56A73">
        <w:rPr>
          <w:sz w:val="22"/>
          <w:szCs w:val="22"/>
          <w:lang w:val="en-GB"/>
        </w:rPr>
        <w:t>Please check on the appropriate box fo</w:t>
      </w:r>
      <w:r w:rsidR="00870816" w:rsidRPr="00B56A73">
        <w:rPr>
          <w:sz w:val="22"/>
          <w:szCs w:val="22"/>
          <w:lang w:val="en-GB"/>
        </w:rPr>
        <w:t>r PPG as needed for the project according to the GEF Project Grant:</w:t>
      </w:r>
    </w:p>
    <w:p w:rsidR="001E2420" w:rsidRPr="00B56A73" w:rsidRDefault="001E2420" w:rsidP="00A806C9">
      <w:pPr>
        <w:pStyle w:val="Footer"/>
        <w:ind w:left="0"/>
        <w:contextualSpacing/>
        <w:rPr>
          <w:sz w:val="22"/>
          <w:szCs w:val="22"/>
          <w:lang w:val="en-GB"/>
        </w:rPr>
      </w:pPr>
    </w:p>
    <w:tbl>
      <w:tblPr>
        <w:tblStyle w:val="TableGrid"/>
        <w:tblW w:w="11057" w:type="dxa"/>
        <w:tblInd w:w="108" w:type="dxa"/>
        <w:tblLook w:val="04A0" w:firstRow="1" w:lastRow="0" w:firstColumn="1" w:lastColumn="0" w:noHBand="0" w:noVBand="1"/>
      </w:tblPr>
      <w:tblGrid>
        <w:gridCol w:w="5954"/>
        <w:gridCol w:w="2551"/>
        <w:gridCol w:w="2552"/>
      </w:tblGrid>
      <w:tr w:rsidR="00AC08E5" w:rsidRPr="00B56A73" w:rsidTr="00AE3396">
        <w:tc>
          <w:tcPr>
            <w:tcW w:w="5954" w:type="dxa"/>
            <w:vAlign w:val="center"/>
          </w:tcPr>
          <w:p w:rsidR="00AC08E5" w:rsidRPr="00B56A73" w:rsidRDefault="00AC6799" w:rsidP="00A3719A">
            <w:pPr>
              <w:pStyle w:val="Footer"/>
              <w:ind w:left="0"/>
              <w:contextualSpacing/>
              <w:jc w:val="center"/>
              <w:rPr>
                <w:b/>
                <w:sz w:val="20"/>
                <w:szCs w:val="20"/>
                <w:lang w:val="en-GB"/>
              </w:rPr>
            </w:pPr>
            <w:r w:rsidRPr="00B56A73">
              <w:rPr>
                <w:b/>
                <w:sz w:val="20"/>
                <w:szCs w:val="20"/>
                <w:lang w:val="en-GB"/>
              </w:rPr>
              <w:t>PPG allowed by grant amount</w:t>
            </w:r>
          </w:p>
        </w:tc>
        <w:tc>
          <w:tcPr>
            <w:tcW w:w="2551" w:type="dxa"/>
            <w:vAlign w:val="center"/>
          </w:tcPr>
          <w:p w:rsidR="00AC08E5" w:rsidRPr="00B56A73" w:rsidRDefault="00AC08E5" w:rsidP="001E2420">
            <w:pPr>
              <w:pStyle w:val="Footer"/>
              <w:tabs>
                <w:tab w:val="clear" w:pos="4320"/>
              </w:tabs>
              <w:ind w:left="0"/>
              <w:contextualSpacing/>
              <w:rPr>
                <w:b/>
                <w:sz w:val="20"/>
                <w:szCs w:val="20"/>
                <w:lang w:val="en-GB"/>
              </w:rPr>
            </w:pPr>
            <w:r w:rsidRPr="00B56A73">
              <w:rPr>
                <w:b/>
                <w:sz w:val="20"/>
                <w:szCs w:val="20"/>
                <w:lang w:val="en-GB"/>
              </w:rPr>
              <w:t>Amount</w:t>
            </w:r>
            <w:r w:rsidR="001E2420">
              <w:rPr>
                <w:b/>
                <w:sz w:val="20"/>
                <w:szCs w:val="20"/>
                <w:lang w:val="en-GB"/>
              </w:rPr>
              <w:t xml:space="preserve"> </w:t>
            </w:r>
            <w:r w:rsidR="00B52149" w:rsidRPr="00B56A73">
              <w:rPr>
                <w:b/>
                <w:sz w:val="20"/>
                <w:szCs w:val="20"/>
                <w:lang w:val="en-GB"/>
              </w:rPr>
              <w:t xml:space="preserve">Requested </w:t>
            </w:r>
            <w:r w:rsidRPr="00B56A73">
              <w:rPr>
                <w:b/>
                <w:sz w:val="20"/>
                <w:szCs w:val="20"/>
                <w:lang w:val="en-GB"/>
              </w:rPr>
              <w:t>($)</w:t>
            </w:r>
          </w:p>
        </w:tc>
        <w:tc>
          <w:tcPr>
            <w:tcW w:w="2552" w:type="dxa"/>
            <w:vAlign w:val="center"/>
          </w:tcPr>
          <w:p w:rsidR="00AC08E5" w:rsidRPr="00B56A73" w:rsidRDefault="00AC08E5" w:rsidP="001E2420">
            <w:pPr>
              <w:pStyle w:val="Footer"/>
              <w:ind w:left="0"/>
              <w:contextualSpacing/>
              <w:rPr>
                <w:b/>
                <w:sz w:val="20"/>
                <w:szCs w:val="20"/>
                <w:lang w:val="en-GB"/>
              </w:rPr>
            </w:pPr>
            <w:r w:rsidRPr="00B56A73">
              <w:rPr>
                <w:b/>
                <w:sz w:val="20"/>
                <w:szCs w:val="20"/>
                <w:lang w:val="en-GB"/>
              </w:rPr>
              <w:t>Agency Fee</w:t>
            </w:r>
            <w:r w:rsidR="001E2420">
              <w:rPr>
                <w:b/>
                <w:sz w:val="20"/>
                <w:szCs w:val="20"/>
                <w:lang w:val="en-GB"/>
              </w:rPr>
              <w:t xml:space="preserve"> </w:t>
            </w:r>
            <w:r w:rsidRPr="00B56A73">
              <w:rPr>
                <w:b/>
                <w:sz w:val="20"/>
                <w:szCs w:val="20"/>
                <w:lang w:val="en-GB"/>
              </w:rPr>
              <w:t>for PPG ($)</w:t>
            </w:r>
          </w:p>
        </w:tc>
      </w:tr>
      <w:tr w:rsidR="00DE3CD6" w:rsidRPr="00B56A73" w:rsidTr="00AE3396">
        <w:tc>
          <w:tcPr>
            <w:tcW w:w="5954" w:type="dxa"/>
          </w:tcPr>
          <w:p w:rsidR="00DE3CD6" w:rsidRPr="00B56A73" w:rsidRDefault="00DE3CD6" w:rsidP="00A3719A">
            <w:pPr>
              <w:pStyle w:val="Footer"/>
              <w:ind w:left="0"/>
              <w:contextualSpacing/>
              <w:rPr>
                <w:sz w:val="20"/>
                <w:szCs w:val="20"/>
                <w:lang w:val="en-GB"/>
              </w:rPr>
            </w:pPr>
            <w:r w:rsidRPr="00B56A73">
              <w:rPr>
                <w:sz w:val="20"/>
                <w:szCs w:val="20"/>
                <w:lang w:val="en-GB"/>
              </w:rPr>
              <w:t>(up</w:t>
            </w:r>
            <w:r w:rsidR="00260966" w:rsidRPr="00B56A73">
              <w:rPr>
                <w:sz w:val="20"/>
                <w:szCs w:val="20"/>
                <w:lang w:val="en-GB"/>
              </w:rPr>
              <w:t xml:space="preserve"> </w:t>
            </w:r>
            <w:r w:rsidRPr="00B56A73">
              <w:rPr>
                <w:sz w:val="20"/>
                <w:szCs w:val="20"/>
                <w:lang w:val="en-GB"/>
              </w:rPr>
              <w:t>to)</w:t>
            </w:r>
            <w:r w:rsidR="00260966" w:rsidRPr="00B56A73">
              <w:rPr>
                <w:sz w:val="20"/>
                <w:szCs w:val="20"/>
                <w:lang w:val="en-GB"/>
              </w:rPr>
              <w:t xml:space="preserve"> </w:t>
            </w:r>
            <w:r w:rsidRPr="00B56A73">
              <w:rPr>
                <w:sz w:val="20"/>
                <w:szCs w:val="20"/>
                <w:lang w:val="en-GB"/>
              </w:rPr>
              <w:t>$100k for projects up to &amp; including $3 million</w:t>
            </w:r>
          </w:p>
        </w:tc>
        <w:tc>
          <w:tcPr>
            <w:tcW w:w="2551" w:type="dxa"/>
          </w:tcPr>
          <w:p w:rsidR="00DE3CD6" w:rsidRPr="00AE3396" w:rsidRDefault="001E2420" w:rsidP="002859A8">
            <w:pPr>
              <w:pStyle w:val="Footer"/>
              <w:ind w:left="0"/>
              <w:contextualSpacing/>
              <w:jc w:val="center"/>
              <w:rPr>
                <w:sz w:val="20"/>
                <w:szCs w:val="20"/>
                <w:lang w:val="en-GB"/>
              </w:rPr>
            </w:pPr>
            <w:r w:rsidRPr="00AE3396">
              <w:rPr>
                <w:sz w:val="20"/>
                <w:szCs w:val="20"/>
                <w:lang w:val="en-GB"/>
              </w:rPr>
              <w:t xml:space="preserve">       </w:t>
            </w:r>
            <w:r w:rsidR="00740BE6" w:rsidRPr="00AE3396">
              <w:rPr>
                <w:sz w:val="20"/>
                <w:szCs w:val="20"/>
                <w:lang w:val="en-GB"/>
              </w:rPr>
              <w:t>70,000</w:t>
            </w:r>
          </w:p>
        </w:tc>
        <w:tc>
          <w:tcPr>
            <w:tcW w:w="2552" w:type="dxa"/>
          </w:tcPr>
          <w:p w:rsidR="00DE3CD6" w:rsidRPr="00AE3396" w:rsidRDefault="001E2420" w:rsidP="002859A8">
            <w:pPr>
              <w:pStyle w:val="Footer"/>
              <w:ind w:left="0"/>
              <w:contextualSpacing/>
              <w:jc w:val="center"/>
              <w:rPr>
                <w:sz w:val="20"/>
                <w:szCs w:val="20"/>
                <w:lang w:val="en-GB"/>
              </w:rPr>
            </w:pPr>
            <w:r w:rsidRPr="00AE3396">
              <w:rPr>
                <w:sz w:val="20"/>
                <w:szCs w:val="20"/>
                <w:lang w:val="en-GB"/>
              </w:rPr>
              <w:t xml:space="preserve">        </w:t>
            </w:r>
            <w:r w:rsidR="00740BE6" w:rsidRPr="00AE3396">
              <w:rPr>
                <w:sz w:val="20"/>
                <w:szCs w:val="20"/>
                <w:lang w:val="en-GB"/>
              </w:rPr>
              <w:t>6,650</w:t>
            </w:r>
          </w:p>
        </w:tc>
      </w:tr>
    </w:tbl>
    <w:p w:rsidR="00072A20" w:rsidRDefault="00072A20" w:rsidP="00A806C9">
      <w:pPr>
        <w:pStyle w:val="Footer"/>
        <w:tabs>
          <w:tab w:val="clear" w:pos="4320"/>
          <w:tab w:val="clear" w:pos="8640"/>
        </w:tabs>
        <w:ind w:left="0"/>
        <w:contextualSpacing/>
        <w:outlineLvl w:val="0"/>
        <w:rPr>
          <w:b/>
          <w:smallCaps/>
          <w:sz w:val="22"/>
          <w:szCs w:val="22"/>
          <w:highlight w:val="yellow"/>
          <w:lang w:val="en-GB"/>
        </w:rPr>
      </w:pPr>
    </w:p>
    <w:p w:rsidR="00FC45DC" w:rsidRPr="00B56A73" w:rsidRDefault="00966858" w:rsidP="00A806C9">
      <w:pPr>
        <w:pStyle w:val="Footer"/>
        <w:tabs>
          <w:tab w:val="clear" w:pos="4320"/>
          <w:tab w:val="clear" w:pos="8640"/>
        </w:tabs>
        <w:ind w:left="0"/>
        <w:contextualSpacing/>
        <w:outlineLvl w:val="0"/>
        <w:rPr>
          <w:b/>
          <w:smallCaps/>
          <w:sz w:val="22"/>
          <w:szCs w:val="22"/>
          <w:lang w:val="en-GB"/>
        </w:rPr>
      </w:pPr>
      <w:r w:rsidRPr="00B56A73">
        <w:rPr>
          <w:b/>
          <w:smallCaps/>
          <w:sz w:val="22"/>
          <w:szCs w:val="22"/>
          <w:lang w:val="en-GB"/>
        </w:rPr>
        <w:t xml:space="preserve">PPG Amount requested by </w:t>
      </w:r>
      <w:r w:rsidR="001F637A" w:rsidRPr="00B56A73">
        <w:rPr>
          <w:b/>
          <w:smallCaps/>
          <w:sz w:val="22"/>
          <w:szCs w:val="22"/>
          <w:lang w:val="en-GB"/>
        </w:rPr>
        <w:t>A</w:t>
      </w:r>
      <w:r w:rsidRPr="00B56A73">
        <w:rPr>
          <w:b/>
          <w:smallCaps/>
          <w:sz w:val="22"/>
          <w:szCs w:val="22"/>
          <w:lang w:val="en-GB"/>
        </w:rPr>
        <w:t xml:space="preserve">gency, </w:t>
      </w:r>
      <w:r w:rsidR="001F637A" w:rsidRPr="00B56A73">
        <w:rPr>
          <w:b/>
          <w:smallCaps/>
          <w:sz w:val="22"/>
          <w:szCs w:val="22"/>
          <w:lang w:val="en-GB"/>
        </w:rPr>
        <w:t>F</w:t>
      </w:r>
      <w:r w:rsidRPr="00B56A73">
        <w:rPr>
          <w:b/>
          <w:smallCaps/>
          <w:sz w:val="22"/>
          <w:szCs w:val="22"/>
          <w:lang w:val="en-GB"/>
        </w:rPr>
        <w:t xml:space="preserve">ocal </w:t>
      </w:r>
      <w:r w:rsidR="001F637A" w:rsidRPr="00B56A73">
        <w:rPr>
          <w:b/>
          <w:smallCaps/>
          <w:sz w:val="22"/>
          <w:szCs w:val="22"/>
          <w:lang w:val="en-GB"/>
        </w:rPr>
        <w:t>A</w:t>
      </w:r>
      <w:r w:rsidRPr="00B56A73">
        <w:rPr>
          <w:b/>
          <w:smallCaps/>
          <w:sz w:val="22"/>
          <w:szCs w:val="22"/>
          <w:lang w:val="en-GB"/>
        </w:rPr>
        <w:t>rea</w:t>
      </w:r>
      <w:r w:rsidR="00663983" w:rsidRPr="00B56A73">
        <w:rPr>
          <w:b/>
          <w:smallCaps/>
          <w:sz w:val="22"/>
          <w:szCs w:val="22"/>
          <w:lang w:val="en-GB"/>
        </w:rPr>
        <w:t xml:space="preserve"> </w:t>
      </w:r>
      <w:r w:rsidRPr="00B56A73">
        <w:rPr>
          <w:b/>
          <w:smallCaps/>
          <w:sz w:val="22"/>
          <w:szCs w:val="22"/>
          <w:lang w:val="en-GB"/>
        </w:rPr>
        <w:t xml:space="preserve">and </w:t>
      </w:r>
      <w:r w:rsidR="001F637A" w:rsidRPr="00B56A73">
        <w:rPr>
          <w:b/>
          <w:smallCaps/>
          <w:sz w:val="22"/>
          <w:szCs w:val="22"/>
          <w:lang w:val="en-GB"/>
        </w:rPr>
        <w:t>C</w:t>
      </w:r>
      <w:r w:rsidRPr="00B56A73">
        <w:rPr>
          <w:b/>
          <w:smallCaps/>
          <w:sz w:val="22"/>
          <w:szCs w:val="22"/>
          <w:lang w:val="en-GB"/>
        </w:rPr>
        <w:t xml:space="preserve">ountry </w:t>
      </w:r>
      <w:r w:rsidR="007001E6" w:rsidRPr="00B56A73">
        <w:rPr>
          <w:b/>
          <w:smallCaps/>
          <w:sz w:val="22"/>
          <w:szCs w:val="22"/>
          <w:lang w:val="en-GB"/>
        </w:rPr>
        <w:t>for MFA</w:t>
      </w:r>
      <w:r w:rsidR="00FE69AE" w:rsidRPr="00B56A73">
        <w:rPr>
          <w:b/>
          <w:smallCaps/>
          <w:sz w:val="22"/>
          <w:szCs w:val="22"/>
          <w:lang w:val="en-GB"/>
        </w:rPr>
        <w:t>:</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530"/>
        <w:gridCol w:w="2439"/>
        <w:gridCol w:w="1559"/>
        <w:gridCol w:w="1447"/>
        <w:gridCol w:w="1388"/>
        <w:gridCol w:w="1701"/>
      </w:tblGrid>
      <w:tr w:rsidR="00151C05" w:rsidRPr="00B56A73" w:rsidTr="00B73333">
        <w:trPr>
          <w:trHeight w:val="278"/>
        </w:trPr>
        <w:tc>
          <w:tcPr>
            <w:tcW w:w="993" w:type="dxa"/>
            <w:vMerge w:val="restart"/>
            <w:vAlign w:val="center"/>
          </w:tcPr>
          <w:p w:rsidR="00151C05" w:rsidRPr="00B56A73" w:rsidRDefault="00151C05" w:rsidP="00151C05">
            <w:pPr>
              <w:ind w:left="0"/>
              <w:contextualSpacing/>
              <w:jc w:val="center"/>
              <w:rPr>
                <w:b/>
                <w:sz w:val="20"/>
                <w:szCs w:val="20"/>
                <w:lang w:val="en-GB"/>
              </w:rPr>
            </w:pPr>
            <w:r w:rsidRPr="00B56A73">
              <w:rPr>
                <w:b/>
                <w:sz w:val="20"/>
                <w:szCs w:val="20"/>
                <w:lang w:val="en-GB"/>
              </w:rPr>
              <w:t>Trust Fund</w:t>
            </w:r>
          </w:p>
        </w:tc>
        <w:tc>
          <w:tcPr>
            <w:tcW w:w="1530" w:type="dxa"/>
            <w:vMerge w:val="restart"/>
            <w:shd w:val="clear" w:color="auto" w:fill="auto"/>
            <w:vAlign w:val="center"/>
          </w:tcPr>
          <w:p w:rsidR="00151C05" w:rsidRPr="00B56A73" w:rsidRDefault="00151C05" w:rsidP="00151C05">
            <w:pPr>
              <w:ind w:left="0"/>
              <w:contextualSpacing/>
              <w:jc w:val="center"/>
              <w:rPr>
                <w:b/>
                <w:sz w:val="20"/>
                <w:szCs w:val="20"/>
                <w:lang w:val="en-GB"/>
              </w:rPr>
            </w:pPr>
            <w:r w:rsidRPr="00B56A73">
              <w:rPr>
                <w:b/>
                <w:sz w:val="20"/>
                <w:szCs w:val="20"/>
                <w:lang w:val="en-GB"/>
              </w:rPr>
              <w:t>GEF Agency</w:t>
            </w:r>
          </w:p>
        </w:tc>
        <w:tc>
          <w:tcPr>
            <w:tcW w:w="2439" w:type="dxa"/>
            <w:vMerge w:val="restart"/>
            <w:shd w:val="clear" w:color="auto" w:fill="auto"/>
            <w:vAlign w:val="center"/>
          </w:tcPr>
          <w:p w:rsidR="00151C05" w:rsidRPr="00B56A73" w:rsidRDefault="00151C05" w:rsidP="00151C05">
            <w:pPr>
              <w:ind w:left="0"/>
              <w:contextualSpacing/>
              <w:jc w:val="center"/>
              <w:rPr>
                <w:b/>
                <w:sz w:val="20"/>
                <w:szCs w:val="20"/>
                <w:lang w:val="en-GB"/>
              </w:rPr>
            </w:pPr>
            <w:r w:rsidRPr="00B56A73">
              <w:rPr>
                <w:b/>
                <w:sz w:val="20"/>
                <w:szCs w:val="20"/>
                <w:lang w:val="en-GB"/>
              </w:rPr>
              <w:t>Focal Area</w:t>
            </w:r>
          </w:p>
        </w:tc>
        <w:tc>
          <w:tcPr>
            <w:tcW w:w="1559" w:type="dxa"/>
            <w:vMerge w:val="restart"/>
            <w:shd w:val="clear" w:color="auto" w:fill="auto"/>
            <w:vAlign w:val="center"/>
          </w:tcPr>
          <w:p w:rsidR="00151C05" w:rsidRPr="00B56A73" w:rsidRDefault="00151C05" w:rsidP="00151C05">
            <w:pPr>
              <w:ind w:left="0" w:right="-108"/>
              <w:contextualSpacing/>
              <w:jc w:val="center"/>
              <w:rPr>
                <w:b/>
                <w:sz w:val="20"/>
                <w:szCs w:val="20"/>
                <w:lang w:val="en-GB"/>
              </w:rPr>
            </w:pPr>
            <w:r w:rsidRPr="00B56A73">
              <w:rPr>
                <w:b/>
                <w:sz w:val="20"/>
                <w:szCs w:val="20"/>
                <w:lang w:val="en-GB"/>
              </w:rPr>
              <w:t>Country Name/</w:t>
            </w:r>
          </w:p>
          <w:p w:rsidR="00151C05" w:rsidRPr="00B56A73" w:rsidRDefault="00151C05" w:rsidP="00151C05">
            <w:pPr>
              <w:ind w:left="0"/>
              <w:contextualSpacing/>
              <w:jc w:val="center"/>
              <w:rPr>
                <w:b/>
                <w:sz w:val="20"/>
                <w:szCs w:val="20"/>
                <w:lang w:val="en-GB"/>
              </w:rPr>
            </w:pPr>
            <w:r w:rsidRPr="00B56A73">
              <w:rPr>
                <w:b/>
                <w:sz w:val="20"/>
                <w:szCs w:val="20"/>
                <w:lang w:val="en-GB"/>
              </w:rPr>
              <w:t>Global</w:t>
            </w:r>
          </w:p>
        </w:tc>
        <w:tc>
          <w:tcPr>
            <w:tcW w:w="4536" w:type="dxa"/>
            <w:gridSpan w:val="3"/>
            <w:shd w:val="clear" w:color="auto" w:fill="auto"/>
            <w:vAlign w:val="center"/>
          </w:tcPr>
          <w:p w:rsidR="00151C05" w:rsidRPr="00B56A73" w:rsidRDefault="00151C05" w:rsidP="00151C05">
            <w:pPr>
              <w:ind w:left="0"/>
              <w:contextualSpacing/>
              <w:jc w:val="center"/>
              <w:rPr>
                <w:b/>
                <w:sz w:val="20"/>
                <w:szCs w:val="20"/>
                <w:lang w:val="en-GB"/>
              </w:rPr>
            </w:pPr>
            <w:r w:rsidRPr="00B56A73">
              <w:rPr>
                <w:b/>
                <w:sz w:val="20"/>
                <w:szCs w:val="20"/>
                <w:lang w:val="en-GB"/>
              </w:rPr>
              <w:t>(in $)</w:t>
            </w:r>
          </w:p>
        </w:tc>
      </w:tr>
      <w:tr w:rsidR="00151C05" w:rsidRPr="00B56A73" w:rsidTr="00B73333">
        <w:trPr>
          <w:trHeight w:val="277"/>
        </w:trPr>
        <w:tc>
          <w:tcPr>
            <w:tcW w:w="993" w:type="dxa"/>
            <w:vMerge/>
            <w:vAlign w:val="center"/>
          </w:tcPr>
          <w:p w:rsidR="00151C05" w:rsidRPr="00B56A73" w:rsidRDefault="00151C05" w:rsidP="00151C05">
            <w:pPr>
              <w:ind w:left="0"/>
              <w:contextualSpacing/>
              <w:jc w:val="center"/>
              <w:rPr>
                <w:b/>
                <w:smallCaps/>
                <w:sz w:val="20"/>
                <w:szCs w:val="20"/>
                <w:lang w:val="en-GB"/>
              </w:rPr>
            </w:pPr>
          </w:p>
        </w:tc>
        <w:tc>
          <w:tcPr>
            <w:tcW w:w="1530" w:type="dxa"/>
            <w:vMerge/>
            <w:shd w:val="clear" w:color="auto" w:fill="auto"/>
            <w:vAlign w:val="center"/>
          </w:tcPr>
          <w:p w:rsidR="00151C05" w:rsidRPr="00B56A73" w:rsidRDefault="00151C05" w:rsidP="00151C05">
            <w:pPr>
              <w:ind w:left="0"/>
              <w:contextualSpacing/>
              <w:jc w:val="center"/>
              <w:rPr>
                <w:b/>
                <w:smallCaps/>
                <w:sz w:val="20"/>
                <w:szCs w:val="20"/>
                <w:lang w:val="en-GB"/>
              </w:rPr>
            </w:pPr>
          </w:p>
        </w:tc>
        <w:tc>
          <w:tcPr>
            <w:tcW w:w="2439" w:type="dxa"/>
            <w:vMerge/>
            <w:shd w:val="clear" w:color="auto" w:fill="auto"/>
            <w:vAlign w:val="center"/>
          </w:tcPr>
          <w:p w:rsidR="00151C05" w:rsidRPr="00B56A73" w:rsidRDefault="00151C05" w:rsidP="00151C05">
            <w:pPr>
              <w:ind w:left="0"/>
              <w:contextualSpacing/>
              <w:jc w:val="center"/>
              <w:rPr>
                <w:b/>
                <w:smallCaps/>
                <w:sz w:val="20"/>
                <w:szCs w:val="20"/>
                <w:lang w:val="en-GB"/>
              </w:rPr>
            </w:pPr>
          </w:p>
        </w:tc>
        <w:tc>
          <w:tcPr>
            <w:tcW w:w="1559" w:type="dxa"/>
            <w:vMerge/>
            <w:shd w:val="clear" w:color="auto" w:fill="auto"/>
            <w:vAlign w:val="center"/>
          </w:tcPr>
          <w:p w:rsidR="00151C05" w:rsidRPr="00B56A73" w:rsidRDefault="00151C05" w:rsidP="00151C05">
            <w:pPr>
              <w:ind w:left="0"/>
              <w:contextualSpacing/>
              <w:jc w:val="center"/>
              <w:rPr>
                <w:b/>
                <w:sz w:val="20"/>
                <w:szCs w:val="20"/>
                <w:lang w:val="en-GB"/>
              </w:rPr>
            </w:pPr>
          </w:p>
        </w:tc>
        <w:tc>
          <w:tcPr>
            <w:tcW w:w="1447" w:type="dxa"/>
            <w:shd w:val="clear" w:color="auto" w:fill="auto"/>
            <w:vAlign w:val="center"/>
          </w:tcPr>
          <w:p w:rsidR="00151C05" w:rsidRPr="00B56A73" w:rsidRDefault="00151C05" w:rsidP="00151C05">
            <w:pPr>
              <w:ind w:left="0"/>
              <w:contextualSpacing/>
              <w:jc w:val="center"/>
              <w:rPr>
                <w:b/>
                <w:sz w:val="20"/>
                <w:szCs w:val="20"/>
                <w:lang w:val="en-GB"/>
              </w:rPr>
            </w:pPr>
          </w:p>
          <w:p w:rsidR="00151C05" w:rsidRPr="00B56A73" w:rsidRDefault="00151C05" w:rsidP="00151C05">
            <w:pPr>
              <w:ind w:left="0"/>
              <w:contextualSpacing/>
              <w:jc w:val="center"/>
              <w:rPr>
                <w:sz w:val="20"/>
                <w:szCs w:val="20"/>
                <w:lang w:val="en-GB"/>
              </w:rPr>
            </w:pPr>
            <w:r w:rsidRPr="00B56A73">
              <w:rPr>
                <w:b/>
                <w:sz w:val="20"/>
                <w:szCs w:val="20"/>
                <w:lang w:val="en-GB"/>
              </w:rPr>
              <w:t xml:space="preserve">PPG </w:t>
            </w:r>
            <w:r w:rsidRPr="00B56A73">
              <w:rPr>
                <w:sz w:val="20"/>
                <w:szCs w:val="20"/>
                <w:lang w:val="en-GB"/>
              </w:rPr>
              <w:t>(a)</w:t>
            </w:r>
          </w:p>
        </w:tc>
        <w:tc>
          <w:tcPr>
            <w:tcW w:w="1388" w:type="dxa"/>
            <w:shd w:val="clear" w:color="auto" w:fill="auto"/>
            <w:vAlign w:val="center"/>
          </w:tcPr>
          <w:p w:rsidR="00151C05" w:rsidRPr="00B56A73" w:rsidRDefault="00151C05" w:rsidP="00151C05">
            <w:pPr>
              <w:ind w:left="0"/>
              <w:contextualSpacing/>
              <w:jc w:val="center"/>
              <w:rPr>
                <w:b/>
                <w:sz w:val="20"/>
                <w:szCs w:val="20"/>
                <w:lang w:val="en-GB"/>
              </w:rPr>
            </w:pPr>
            <w:r w:rsidRPr="00B56A73">
              <w:rPr>
                <w:b/>
                <w:sz w:val="20"/>
                <w:szCs w:val="20"/>
                <w:lang w:val="en-GB"/>
              </w:rPr>
              <w:t>Agency</w:t>
            </w:r>
          </w:p>
          <w:p w:rsidR="00151C05" w:rsidRPr="00B56A73" w:rsidRDefault="00151C05" w:rsidP="00151C05">
            <w:pPr>
              <w:ind w:left="0"/>
              <w:contextualSpacing/>
              <w:jc w:val="center"/>
              <w:rPr>
                <w:sz w:val="20"/>
                <w:szCs w:val="20"/>
                <w:lang w:val="en-GB"/>
              </w:rPr>
            </w:pPr>
            <w:r w:rsidRPr="00B56A73">
              <w:rPr>
                <w:b/>
                <w:sz w:val="20"/>
                <w:szCs w:val="20"/>
                <w:lang w:val="en-GB"/>
              </w:rPr>
              <w:t xml:space="preserve">Fee </w:t>
            </w:r>
            <w:r w:rsidRPr="00B56A73">
              <w:rPr>
                <w:sz w:val="20"/>
                <w:szCs w:val="20"/>
                <w:lang w:val="en-GB"/>
              </w:rPr>
              <w:t>(b)</w:t>
            </w:r>
          </w:p>
        </w:tc>
        <w:tc>
          <w:tcPr>
            <w:tcW w:w="1701" w:type="dxa"/>
            <w:shd w:val="clear" w:color="auto" w:fill="auto"/>
            <w:vAlign w:val="center"/>
          </w:tcPr>
          <w:p w:rsidR="00151C05" w:rsidRPr="00B56A73" w:rsidRDefault="00151C05" w:rsidP="00151C05">
            <w:pPr>
              <w:ind w:left="0"/>
              <w:contextualSpacing/>
              <w:jc w:val="center"/>
              <w:rPr>
                <w:b/>
                <w:sz w:val="20"/>
                <w:szCs w:val="20"/>
                <w:lang w:val="en-GB"/>
              </w:rPr>
            </w:pPr>
            <w:r w:rsidRPr="00B56A73">
              <w:rPr>
                <w:b/>
                <w:sz w:val="20"/>
                <w:szCs w:val="20"/>
                <w:lang w:val="en-GB"/>
              </w:rPr>
              <w:t>Total</w:t>
            </w:r>
          </w:p>
          <w:p w:rsidR="00151C05" w:rsidRPr="00B56A73" w:rsidRDefault="00151C05" w:rsidP="00151C05">
            <w:pPr>
              <w:ind w:left="0"/>
              <w:contextualSpacing/>
              <w:jc w:val="center"/>
              <w:rPr>
                <w:sz w:val="20"/>
                <w:szCs w:val="20"/>
                <w:lang w:val="en-GB"/>
              </w:rPr>
            </w:pPr>
            <w:r w:rsidRPr="00B56A73">
              <w:rPr>
                <w:sz w:val="20"/>
                <w:szCs w:val="20"/>
                <w:lang w:val="en-GB"/>
              </w:rPr>
              <w:t>c = a + b</w:t>
            </w:r>
          </w:p>
        </w:tc>
      </w:tr>
      <w:tr w:rsidR="00151C05" w:rsidRPr="00B56A73" w:rsidTr="00B73333">
        <w:trPr>
          <w:trHeight w:val="253"/>
        </w:trPr>
        <w:tc>
          <w:tcPr>
            <w:tcW w:w="993" w:type="dxa"/>
          </w:tcPr>
          <w:p w:rsidR="00151C05" w:rsidRPr="00B56A73" w:rsidRDefault="00151C05" w:rsidP="00151C05">
            <w:pPr>
              <w:ind w:left="0"/>
              <w:contextualSpacing/>
              <w:rPr>
                <w:sz w:val="20"/>
                <w:szCs w:val="20"/>
                <w:lang w:val="en-GB"/>
              </w:rPr>
            </w:pPr>
            <w:r w:rsidRPr="00B56A73">
              <w:rPr>
                <w:sz w:val="20"/>
                <w:szCs w:val="20"/>
                <w:lang w:val="en-GB"/>
              </w:rPr>
              <w:t>GEF-TF</w:t>
            </w:r>
          </w:p>
        </w:tc>
        <w:tc>
          <w:tcPr>
            <w:tcW w:w="1530" w:type="dxa"/>
            <w:shd w:val="clear" w:color="auto" w:fill="auto"/>
          </w:tcPr>
          <w:p w:rsidR="00151C05" w:rsidRPr="00B56A73" w:rsidRDefault="00151C05" w:rsidP="00151C05">
            <w:pPr>
              <w:ind w:left="0"/>
              <w:contextualSpacing/>
              <w:rPr>
                <w:sz w:val="20"/>
                <w:szCs w:val="20"/>
                <w:lang w:val="en-GB"/>
              </w:rPr>
            </w:pPr>
            <w:r w:rsidRPr="00B56A73">
              <w:rPr>
                <w:sz w:val="20"/>
                <w:szCs w:val="20"/>
                <w:lang w:val="en-GB"/>
              </w:rPr>
              <w:t>UNDP</w:t>
            </w:r>
          </w:p>
        </w:tc>
        <w:tc>
          <w:tcPr>
            <w:tcW w:w="2439" w:type="dxa"/>
            <w:shd w:val="clear" w:color="auto" w:fill="auto"/>
          </w:tcPr>
          <w:p w:rsidR="00151C05" w:rsidRPr="00B56A73" w:rsidRDefault="00151C05" w:rsidP="00AA1C6C">
            <w:pPr>
              <w:ind w:left="0"/>
              <w:contextualSpacing/>
              <w:jc w:val="center"/>
              <w:rPr>
                <w:sz w:val="20"/>
                <w:szCs w:val="20"/>
                <w:lang w:val="en-GB"/>
              </w:rPr>
            </w:pPr>
            <w:r w:rsidRPr="00B56A73">
              <w:rPr>
                <w:sz w:val="20"/>
                <w:szCs w:val="20"/>
                <w:lang w:val="en-GB"/>
              </w:rPr>
              <w:t>Biodiversity</w:t>
            </w:r>
          </w:p>
        </w:tc>
        <w:tc>
          <w:tcPr>
            <w:tcW w:w="1559" w:type="dxa"/>
            <w:shd w:val="clear" w:color="auto" w:fill="auto"/>
          </w:tcPr>
          <w:p w:rsidR="00151C05" w:rsidRPr="00B56A73" w:rsidRDefault="00151C05" w:rsidP="00AA1C6C">
            <w:pPr>
              <w:ind w:left="0"/>
              <w:contextualSpacing/>
              <w:rPr>
                <w:sz w:val="20"/>
                <w:szCs w:val="20"/>
                <w:lang w:val="en-GB"/>
              </w:rPr>
            </w:pPr>
            <w:r w:rsidRPr="00B56A73">
              <w:rPr>
                <w:sz w:val="20"/>
                <w:szCs w:val="20"/>
                <w:lang w:val="en-GB"/>
              </w:rPr>
              <w:t>Guinea-Bissau</w:t>
            </w:r>
          </w:p>
        </w:tc>
        <w:tc>
          <w:tcPr>
            <w:tcW w:w="1447" w:type="dxa"/>
            <w:shd w:val="clear" w:color="auto" w:fill="auto"/>
          </w:tcPr>
          <w:p w:rsidR="00151C05" w:rsidRPr="00B56A73" w:rsidRDefault="00151C05" w:rsidP="00151C05">
            <w:pPr>
              <w:ind w:left="0"/>
              <w:contextualSpacing/>
              <w:jc w:val="right"/>
              <w:rPr>
                <w:sz w:val="20"/>
                <w:szCs w:val="20"/>
                <w:lang w:val="en-GB"/>
              </w:rPr>
            </w:pPr>
            <w:r w:rsidRPr="00B56A73">
              <w:rPr>
                <w:sz w:val="20"/>
                <w:szCs w:val="20"/>
                <w:lang w:val="en-GB"/>
              </w:rPr>
              <w:t>40,000</w:t>
            </w:r>
          </w:p>
        </w:tc>
        <w:tc>
          <w:tcPr>
            <w:tcW w:w="1388" w:type="dxa"/>
            <w:shd w:val="clear" w:color="auto" w:fill="auto"/>
          </w:tcPr>
          <w:p w:rsidR="00151C05" w:rsidRPr="00B56A73" w:rsidRDefault="00DD7A7E" w:rsidP="00151C05">
            <w:pPr>
              <w:ind w:left="0"/>
              <w:contextualSpacing/>
              <w:jc w:val="right"/>
              <w:rPr>
                <w:sz w:val="20"/>
                <w:szCs w:val="20"/>
                <w:lang w:val="en-GB"/>
              </w:rPr>
            </w:pPr>
            <w:r w:rsidRPr="00B56A73">
              <w:rPr>
                <w:sz w:val="20"/>
                <w:szCs w:val="20"/>
                <w:lang w:val="en-GB"/>
              </w:rPr>
              <w:t>3,800</w:t>
            </w:r>
          </w:p>
        </w:tc>
        <w:tc>
          <w:tcPr>
            <w:tcW w:w="1701" w:type="dxa"/>
            <w:shd w:val="clear" w:color="auto" w:fill="auto"/>
          </w:tcPr>
          <w:p w:rsidR="00151C05" w:rsidRPr="00B56A73" w:rsidRDefault="00DD7A7E" w:rsidP="00151C05">
            <w:pPr>
              <w:ind w:left="0"/>
              <w:contextualSpacing/>
              <w:jc w:val="right"/>
              <w:rPr>
                <w:sz w:val="20"/>
                <w:szCs w:val="20"/>
                <w:lang w:val="en-GB"/>
              </w:rPr>
            </w:pPr>
            <w:r w:rsidRPr="00B56A73">
              <w:rPr>
                <w:sz w:val="20"/>
                <w:szCs w:val="20"/>
                <w:lang w:val="en-GB"/>
              </w:rPr>
              <w:t>43,800</w:t>
            </w:r>
          </w:p>
        </w:tc>
      </w:tr>
      <w:tr w:rsidR="00151C05" w:rsidRPr="00B56A73" w:rsidTr="00B73333">
        <w:trPr>
          <w:trHeight w:val="253"/>
        </w:trPr>
        <w:tc>
          <w:tcPr>
            <w:tcW w:w="993" w:type="dxa"/>
          </w:tcPr>
          <w:p w:rsidR="00151C05" w:rsidRPr="00B56A73" w:rsidRDefault="00151C05" w:rsidP="00151C05">
            <w:pPr>
              <w:ind w:left="0"/>
              <w:contextualSpacing/>
              <w:rPr>
                <w:sz w:val="20"/>
                <w:szCs w:val="20"/>
                <w:lang w:val="en-GB"/>
              </w:rPr>
            </w:pPr>
            <w:r w:rsidRPr="00B56A73">
              <w:rPr>
                <w:sz w:val="20"/>
                <w:szCs w:val="20"/>
                <w:lang w:val="en-GB"/>
              </w:rPr>
              <w:t>GEF-TF</w:t>
            </w:r>
          </w:p>
        </w:tc>
        <w:tc>
          <w:tcPr>
            <w:tcW w:w="1530" w:type="dxa"/>
            <w:shd w:val="clear" w:color="auto" w:fill="auto"/>
          </w:tcPr>
          <w:p w:rsidR="00151C05" w:rsidRPr="00B56A73" w:rsidRDefault="00151C05" w:rsidP="00151C05">
            <w:pPr>
              <w:ind w:left="0"/>
              <w:contextualSpacing/>
              <w:rPr>
                <w:sz w:val="20"/>
                <w:szCs w:val="20"/>
                <w:lang w:val="en-GB"/>
              </w:rPr>
            </w:pPr>
            <w:r w:rsidRPr="00B56A73">
              <w:rPr>
                <w:sz w:val="20"/>
                <w:szCs w:val="20"/>
                <w:lang w:val="en-GB"/>
              </w:rPr>
              <w:t>UNDP</w:t>
            </w:r>
          </w:p>
        </w:tc>
        <w:tc>
          <w:tcPr>
            <w:tcW w:w="2439" w:type="dxa"/>
            <w:shd w:val="clear" w:color="auto" w:fill="auto"/>
          </w:tcPr>
          <w:p w:rsidR="00151C05" w:rsidRPr="00B56A73" w:rsidRDefault="00151C05" w:rsidP="00AA1C6C">
            <w:pPr>
              <w:ind w:left="0"/>
              <w:contextualSpacing/>
              <w:jc w:val="center"/>
              <w:rPr>
                <w:sz w:val="20"/>
                <w:szCs w:val="20"/>
                <w:lang w:val="en-GB"/>
              </w:rPr>
            </w:pPr>
            <w:r w:rsidRPr="00B56A73">
              <w:rPr>
                <w:sz w:val="20"/>
                <w:szCs w:val="20"/>
                <w:lang w:val="en-GB"/>
              </w:rPr>
              <w:t>Land degradation*</w:t>
            </w:r>
          </w:p>
        </w:tc>
        <w:tc>
          <w:tcPr>
            <w:tcW w:w="1559" w:type="dxa"/>
            <w:shd w:val="clear" w:color="auto" w:fill="auto"/>
          </w:tcPr>
          <w:p w:rsidR="00151C05" w:rsidRPr="00B56A73" w:rsidRDefault="00151C05" w:rsidP="00AA1C6C">
            <w:pPr>
              <w:ind w:left="0"/>
              <w:contextualSpacing/>
              <w:rPr>
                <w:sz w:val="20"/>
                <w:szCs w:val="20"/>
                <w:lang w:val="en-GB"/>
              </w:rPr>
            </w:pPr>
            <w:r w:rsidRPr="00B56A73">
              <w:rPr>
                <w:sz w:val="20"/>
                <w:szCs w:val="20"/>
                <w:lang w:val="en-GB"/>
              </w:rPr>
              <w:t>Guinea-Bissau</w:t>
            </w:r>
          </w:p>
        </w:tc>
        <w:tc>
          <w:tcPr>
            <w:tcW w:w="1447" w:type="dxa"/>
            <w:shd w:val="clear" w:color="auto" w:fill="auto"/>
          </w:tcPr>
          <w:p w:rsidR="00151C05" w:rsidRPr="00B56A73" w:rsidRDefault="00DD7A7E" w:rsidP="00151C05">
            <w:pPr>
              <w:ind w:left="0"/>
              <w:contextualSpacing/>
              <w:jc w:val="right"/>
              <w:rPr>
                <w:sz w:val="20"/>
                <w:szCs w:val="20"/>
                <w:lang w:val="en-GB"/>
              </w:rPr>
            </w:pPr>
            <w:r w:rsidRPr="00B56A73">
              <w:rPr>
                <w:sz w:val="20"/>
                <w:szCs w:val="20"/>
                <w:lang w:val="en-GB"/>
              </w:rPr>
              <w:t>30,000</w:t>
            </w:r>
          </w:p>
        </w:tc>
        <w:tc>
          <w:tcPr>
            <w:tcW w:w="1388" w:type="dxa"/>
            <w:shd w:val="clear" w:color="auto" w:fill="auto"/>
          </w:tcPr>
          <w:p w:rsidR="00151C05" w:rsidRPr="00B56A73" w:rsidRDefault="00DD7A7E" w:rsidP="00151C05">
            <w:pPr>
              <w:ind w:left="0"/>
              <w:contextualSpacing/>
              <w:jc w:val="right"/>
              <w:rPr>
                <w:sz w:val="20"/>
                <w:szCs w:val="20"/>
                <w:lang w:val="en-GB"/>
              </w:rPr>
            </w:pPr>
            <w:r w:rsidRPr="00B56A73">
              <w:rPr>
                <w:sz w:val="20"/>
                <w:szCs w:val="20"/>
                <w:lang w:val="en-GB"/>
              </w:rPr>
              <w:t>2,850</w:t>
            </w:r>
          </w:p>
        </w:tc>
        <w:tc>
          <w:tcPr>
            <w:tcW w:w="1701" w:type="dxa"/>
            <w:shd w:val="clear" w:color="auto" w:fill="auto"/>
          </w:tcPr>
          <w:p w:rsidR="00151C05" w:rsidRPr="00B56A73" w:rsidRDefault="00DD7A7E" w:rsidP="00151C05">
            <w:pPr>
              <w:ind w:left="0"/>
              <w:contextualSpacing/>
              <w:jc w:val="right"/>
              <w:rPr>
                <w:sz w:val="20"/>
                <w:szCs w:val="20"/>
                <w:lang w:val="en-GB"/>
              </w:rPr>
            </w:pPr>
            <w:r w:rsidRPr="00B56A73">
              <w:rPr>
                <w:sz w:val="20"/>
                <w:szCs w:val="20"/>
                <w:lang w:val="en-GB"/>
              </w:rPr>
              <w:t>32,850</w:t>
            </w:r>
          </w:p>
        </w:tc>
      </w:tr>
      <w:tr w:rsidR="00151C05" w:rsidRPr="00B56A73" w:rsidTr="00B73333">
        <w:trPr>
          <w:trHeight w:val="253"/>
        </w:trPr>
        <w:tc>
          <w:tcPr>
            <w:tcW w:w="6521" w:type="dxa"/>
            <w:gridSpan w:val="4"/>
            <w:tcBorders>
              <w:top w:val="double" w:sz="4" w:space="0" w:color="auto"/>
            </w:tcBorders>
          </w:tcPr>
          <w:p w:rsidR="00151C05" w:rsidRPr="00B56A73" w:rsidRDefault="00151C05" w:rsidP="00151C05">
            <w:pPr>
              <w:ind w:left="0"/>
              <w:contextualSpacing/>
              <w:jc w:val="both"/>
              <w:rPr>
                <w:sz w:val="20"/>
                <w:szCs w:val="20"/>
                <w:lang w:val="en-GB"/>
              </w:rPr>
            </w:pPr>
            <w:r w:rsidRPr="00B56A73">
              <w:rPr>
                <w:b/>
                <w:sz w:val="20"/>
                <w:szCs w:val="20"/>
                <w:lang w:val="en-GB"/>
              </w:rPr>
              <w:t>Total PPG Amount</w:t>
            </w:r>
          </w:p>
        </w:tc>
        <w:tc>
          <w:tcPr>
            <w:tcW w:w="1447" w:type="dxa"/>
            <w:tcBorders>
              <w:top w:val="double" w:sz="4" w:space="0" w:color="auto"/>
            </w:tcBorders>
            <w:shd w:val="clear" w:color="auto" w:fill="auto"/>
          </w:tcPr>
          <w:p w:rsidR="00151C05" w:rsidRPr="00B56A73" w:rsidRDefault="00DD7A7E" w:rsidP="00151C05">
            <w:pPr>
              <w:ind w:left="0"/>
              <w:contextualSpacing/>
              <w:jc w:val="right"/>
              <w:rPr>
                <w:b/>
                <w:sz w:val="20"/>
                <w:szCs w:val="20"/>
                <w:lang w:val="en-GB"/>
              </w:rPr>
            </w:pPr>
            <w:r w:rsidRPr="00B56A73">
              <w:rPr>
                <w:b/>
                <w:sz w:val="20"/>
                <w:szCs w:val="20"/>
                <w:lang w:val="en-GB"/>
              </w:rPr>
              <w:t>70,000</w:t>
            </w:r>
          </w:p>
        </w:tc>
        <w:tc>
          <w:tcPr>
            <w:tcW w:w="1388" w:type="dxa"/>
            <w:tcBorders>
              <w:top w:val="double" w:sz="4" w:space="0" w:color="auto"/>
            </w:tcBorders>
            <w:shd w:val="clear" w:color="auto" w:fill="auto"/>
          </w:tcPr>
          <w:p w:rsidR="00151C05" w:rsidRPr="00B56A73" w:rsidRDefault="00DD7A7E" w:rsidP="00151C05">
            <w:pPr>
              <w:ind w:left="0"/>
              <w:contextualSpacing/>
              <w:jc w:val="right"/>
              <w:rPr>
                <w:b/>
                <w:sz w:val="20"/>
                <w:szCs w:val="20"/>
                <w:lang w:val="en-GB"/>
              </w:rPr>
            </w:pPr>
            <w:r w:rsidRPr="00B56A73">
              <w:rPr>
                <w:b/>
                <w:sz w:val="20"/>
                <w:szCs w:val="20"/>
                <w:lang w:val="en-GB"/>
              </w:rPr>
              <w:t>6,650</w:t>
            </w:r>
          </w:p>
        </w:tc>
        <w:tc>
          <w:tcPr>
            <w:tcW w:w="1701" w:type="dxa"/>
            <w:tcBorders>
              <w:top w:val="double" w:sz="4" w:space="0" w:color="auto"/>
            </w:tcBorders>
            <w:shd w:val="clear" w:color="auto" w:fill="auto"/>
          </w:tcPr>
          <w:p w:rsidR="00151C05" w:rsidRPr="00B56A73" w:rsidRDefault="00DD7A7E" w:rsidP="00151C05">
            <w:pPr>
              <w:ind w:left="0"/>
              <w:contextualSpacing/>
              <w:jc w:val="right"/>
              <w:rPr>
                <w:b/>
                <w:sz w:val="20"/>
                <w:szCs w:val="20"/>
                <w:lang w:val="en-GB"/>
              </w:rPr>
            </w:pPr>
            <w:r w:rsidRPr="00B56A73">
              <w:rPr>
                <w:b/>
                <w:sz w:val="20"/>
                <w:szCs w:val="20"/>
                <w:lang w:val="en-GB"/>
              </w:rPr>
              <w:t>76,650</w:t>
            </w:r>
          </w:p>
        </w:tc>
      </w:tr>
    </w:tbl>
    <w:p w:rsidR="00151C05" w:rsidRPr="001E2420" w:rsidRDefault="00151C05" w:rsidP="00151C05">
      <w:pPr>
        <w:ind w:left="0"/>
        <w:contextualSpacing/>
        <w:rPr>
          <w:b/>
          <w:sz w:val="18"/>
          <w:szCs w:val="18"/>
          <w:lang w:val="en-GB"/>
        </w:rPr>
      </w:pPr>
      <w:r w:rsidRPr="001E2420">
        <w:rPr>
          <w:b/>
          <w:sz w:val="18"/>
          <w:szCs w:val="18"/>
          <w:lang w:val="en-GB"/>
        </w:rPr>
        <w:t>*The Government wishes to apply the STAR flexibility mechanism</w:t>
      </w:r>
    </w:p>
    <w:p w:rsidR="00B56A73" w:rsidRDefault="00B56A73" w:rsidP="00BD7222">
      <w:pPr>
        <w:ind w:left="0"/>
        <w:rPr>
          <w:b/>
          <w:caps/>
          <w:color w:val="00B0F0"/>
          <w:sz w:val="22"/>
          <w:szCs w:val="22"/>
          <w:u w:val="single"/>
          <w:lang w:val="en-GB"/>
        </w:rPr>
      </w:pPr>
    </w:p>
    <w:p w:rsidR="00AE49B5" w:rsidRPr="00A030F3" w:rsidRDefault="009C4078" w:rsidP="00D43F7C">
      <w:pPr>
        <w:ind w:left="0"/>
        <w:contextualSpacing/>
        <w:rPr>
          <w:b/>
          <w:caps/>
          <w:color w:val="00B0F0"/>
          <w:sz w:val="22"/>
          <w:szCs w:val="22"/>
          <w:u w:val="single"/>
          <w:lang w:val="en-GB"/>
        </w:rPr>
      </w:pPr>
      <w:r w:rsidRPr="00A030F3">
        <w:rPr>
          <w:b/>
          <w:caps/>
          <w:color w:val="00B0F0"/>
          <w:sz w:val="22"/>
          <w:szCs w:val="22"/>
          <w:u w:val="single"/>
          <w:lang w:val="en-GB"/>
        </w:rPr>
        <w:lastRenderedPageBreak/>
        <w:t>PART II:  PROJECT JUSTIFICATION</w:t>
      </w:r>
    </w:p>
    <w:p w:rsidR="00966858" w:rsidRPr="00A030F3" w:rsidRDefault="00966858" w:rsidP="00E733B4">
      <w:pPr>
        <w:ind w:left="0"/>
        <w:rPr>
          <w:lang w:val="en-GB"/>
        </w:rPr>
      </w:pPr>
    </w:p>
    <w:p w:rsidR="000E4612" w:rsidRPr="00EE76D6" w:rsidRDefault="00966858" w:rsidP="00972B38">
      <w:pPr>
        <w:pStyle w:val="Heading3"/>
        <w:ind w:left="0"/>
      </w:pPr>
      <w:r w:rsidRPr="00EE76D6">
        <w:t xml:space="preserve">A. </w:t>
      </w:r>
      <w:r w:rsidRPr="00EE76D6">
        <w:tab/>
        <w:t>Project Overview</w:t>
      </w:r>
    </w:p>
    <w:p w:rsidR="00972B38" w:rsidRPr="00EE76D6" w:rsidRDefault="00972B38" w:rsidP="00972B38">
      <w:pPr>
        <w:pStyle w:val="Heading4"/>
        <w:ind w:left="0"/>
        <w:rPr>
          <w:b w:val="0"/>
        </w:rPr>
      </w:pPr>
    </w:p>
    <w:p w:rsidR="00E876BB" w:rsidRPr="00FB6F8C" w:rsidRDefault="00F91DD9" w:rsidP="00972B38">
      <w:pPr>
        <w:pStyle w:val="Heading4"/>
        <w:ind w:left="0"/>
        <w:rPr>
          <w:u w:val="single"/>
        </w:rPr>
      </w:pPr>
      <w:r w:rsidRPr="00FB6F8C">
        <w:rPr>
          <w:u w:val="single"/>
        </w:rPr>
        <w:t xml:space="preserve">A.1. </w:t>
      </w:r>
      <w:r w:rsidR="00A10526" w:rsidRPr="00FB6F8C">
        <w:rPr>
          <w:u w:val="single"/>
        </w:rPr>
        <w:t xml:space="preserve">Project Description </w:t>
      </w:r>
    </w:p>
    <w:p w:rsidR="00972B38" w:rsidRPr="00EE76D6" w:rsidRDefault="00972B38" w:rsidP="00972B38">
      <w:pPr>
        <w:pStyle w:val="Heading5"/>
        <w:ind w:left="0"/>
        <w:rPr>
          <w:b w:val="0"/>
        </w:rPr>
      </w:pPr>
    </w:p>
    <w:p w:rsidR="00354234" w:rsidRPr="00EE76D6" w:rsidRDefault="00354234" w:rsidP="00972B38">
      <w:pPr>
        <w:pStyle w:val="Heading5"/>
        <w:ind w:left="0"/>
      </w:pPr>
      <w:r w:rsidRPr="00EE76D6">
        <w:t>The global environmental problem</w:t>
      </w:r>
    </w:p>
    <w:p w:rsidR="00663754" w:rsidRPr="00EE76D6" w:rsidRDefault="00663754" w:rsidP="00663754">
      <w:pPr>
        <w:pStyle w:val="Footer"/>
        <w:ind w:left="0"/>
        <w:contextualSpacing/>
        <w:rPr>
          <w:sz w:val="22"/>
          <w:szCs w:val="22"/>
          <w:u w:val="single"/>
          <w:lang w:val="en-GB"/>
        </w:rPr>
      </w:pPr>
    </w:p>
    <w:p w:rsidR="00AA447D" w:rsidRPr="00EE76D6" w:rsidRDefault="00AA447D" w:rsidP="00CA09CD">
      <w:pPr>
        <w:pStyle w:val="Footer"/>
        <w:numPr>
          <w:ilvl w:val="0"/>
          <w:numId w:val="24"/>
        </w:numPr>
        <w:tabs>
          <w:tab w:val="clear" w:pos="4320"/>
          <w:tab w:val="clear" w:pos="8640"/>
        </w:tabs>
        <w:ind w:left="0" w:firstLine="0"/>
        <w:contextualSpacing/>
        <w:jc w:val="both"/>
        <w:rPr>
          <w:sz w:val="22"/>
          <w:szCs w:val="22"/>
          <w:lang w:val="en-GB"/>
        </w:rPr>
      </w:pPr>
      <w:r w:rsidRPr="00EE76D6">
        <w:rPr>
          <w:sz w:val="22"/>
          <w:szCs w:val="22"/>
          <w:u w:val="single"/>
          <w:lang w:val="en-GB"/>
        </w:rPr>
        <w:t>Globally significant biodiversity:</w:t>
      </w:r>
      <w:r w:rsidRPr="00EE76D6">
        <w:rPr>
          <w:sz w:val="22"/>
          <w:szCs w:val="22"/>
          <w:lang w:val="en-GB"/>
        </w:rPr>
        <w:t xml:space="preserve"> Guinea-Bissau harbours globally significant biodiversity in two major biomes: the coastal and marine complex and the forest belt. The former is host to exceptional biodiversity, due to its landscape featuring the extensive interpenetration of terrestrial and marine/aquatic environments, including vast estuaries, a large archipelago rising from the continental shelf and seasonally flooded coastal plains. Guinea-Bissau’s coastal and marine habitats are indeed among West African’s richest in terms of biodiversity and one of the most productive remaining fisheries in the world. Key aquatic species of global importance include Large-tooth Sawfish (</w:t>
      </w:r>
      <w:r w:rsidRPr="00EE76D6">
        <w:rPr>
          <w:i/>
          <w:sz w:val="22"/>
          <w:szCs w:val="22"/>
          <w:lang w:val="en-GB"/>
        </w:rPr>
        <w:t xml:space="preserve">Pristis perotteti </w:t>
      </w:r>
      <w:r w:rsidRPr="00EE76D6">
        <w:rPr>
          <w:sz w:val="22"/>
          <w:szCs w:val="22"/>
          <w:lang w:val="en-GB"/>
        </w:rPr>
        <w:t>CR) and Common Sawfish (</w:t>
      </w:r>
      <w:r w:rsidRPr="00EE76D6">
        <w:rPr>
          <w:i/>
          <w:sz w:val="22"/>
          <w:szCs w:val="22"/>
          <w:lang w:val="en-GB"/>
        </w:rPr>
        <w:t xml:space="preserve">Pristis pristis </w:t>
      </w:r>
      <w:r w:rsidRPr="00EE76D6">
        <w:rPr>
          <w:sz w:val="22"/>
          <w:szCs w:val="22"/>
          <w:lang w:val="en-GB"/>
        </w:rPr>
        <w:t>CR), Goliath Grouper (</w:t>
      </w:r>
      <w:r w:rsidRPr="00EE76D6">
        <w:rPr>
          <w:i/>
          <w:sz w:val="22"/>
          <w:szCs w:val="22"/>
          <w:lang w:val="en-GB"/>
        </w:rPr>
        <w:t>Epinephelus itajara</w:t>
      </w:r>
      <w:r w:rsidRPr="00EE76D6">
        <w:rPr>
          <w:sz w:val="22"/>
          <w:szCs w:val="22"/>
          <w:lang w:val="en-GB"/>
        </w:rPr>
        <w:t xml:space="preserve"> CR), Bottlenose Skate (</w:t>
      </w:r>
      <w:r w:rsidRPr="00EE76D6">
        <w:rPr>
          <w:i/>
          <w:sz w:val="22"/>
          <w:szCs w:val="22"/>
          <w:lang w:val="en-GB"/>
        </w:rPr>
        <w:t>Rostroraja alba</w:t>
      </w:r>
      <w:r w:rsidRPr="00EE76D6">
        <w:rPr>
          <w:sz w:val="22"/>
          <w:szCs w:val="22"/>
          <w:lang w:val="en-GB"/>
        </w:rPr>
        <w:t xml:space="preserve"> EN), the West African Manatee (</w:t>
      </w:r>
      <w:r w:rsidRPr="00EE76D6">
        <w:rPr>
          <w:i/>
          <w:sz w:val="22"/>
          <w:szCs w:val="22"/>
          <w:lang w:val="en-GB"/>
        </w:rPr>
        <w:t>Trichechus senegalensis</w:t>
      </w:r>
      <w:r w:rsidRPr="00EE76D6">
        <w:rPr>
          <w:sz w:val="22"/>
          <w:szCs w:val="22"/>
          <w:lang w:val="en-GB"/>
        </w:rPr>
        <w:t xml:space="preserve"> VU), a unique population of sea going hippopotamus (</w:t>
      </w:r>
      <w:r w:rsidRPr="00EE76D6">
        <w:rPr>
          <w:i/>
          <w:sz w:val="22"/>
          <w:szCs w:val="22"/>
          <w:lang w:val="en-GB"/>
        </w:rPr>
        <w:t>Hippopotamus amphibius</w:t>
      </w:r>
      <w:r w:rsidRPr="00EE76D6">
        <w:rPr>
          <w:sz w:val="22"/>
          <w:szCs w:val="22"/>
          <w:lang w:val="en-GB"/>
        </w:rPr>
        <w:t>) and five species of marine turtles (all globally threatened). The Green Turtle (</w:t>
      </w:r>
      <w:r w:rsidRPr="00EE76D6">
        <w:rPr>
          <w:i/>
          <w:sz w:val="22"/>
          <w:szCs w:val="22"/>
          <w:lang w:val="en-GB"/>
        </w:rPr>
        <w:t>Chelonia mydas</w:t>
      </w:r>
      <w:r w:rsidRPr="00EE76D6">
        <w:rPr>
          <w:sz w:val="22"/>
          <w:szCs w:val="22"/>
          <w:lang w:val="en-GB"/>
        </w:rPr>
        <w:t xml:space="preserve"> EN) nesting site in the João Vieira &amp; Poilão Marine Protected Area is recognized as the largest in West and Central Africa and the third largest in the Atlantic. The Bijagos Archipelago, classified as a Biosphere Reserve by UNESCO has recently been proposed also as a UNESCO World Heritage site. It is one of the foremost locations for migratory water birds in West Africa, and said to host 1% of the total world bird population during the winter. All of the country’s coastal and marine PAs are identified as Important Bird Areas by Birdlife International. A total of 456 species of birds have been recorded in the country, including 9 globally threatened species (4 EN</w:t>
      </w:r>
      <w:r w:rsidRPr="00EE76D6">
        <w:rPr>
          <w:rStyle w:val="FootnoteReference"/>
          <w:sz w:val="22"/>
          <w:szCs w:val="22"/>
          <w:lang w:val="en-GB"/>
        </w:rPr>
        <w:footnoteReference w:id="10"/>
      </w:r>
      <w:r w:rsidRPr="00EE76D6">
        <w:rPr>
          <w:sz w:val="22"/>
          <w:szCs w:val="22"/>
          <w:lang w:val="en-GB"/>
        </w:rPr>
        <w:t>, 5 VU</w:t>
      </w:r>
      <w:r w:rsidRPr="00EE76D6">
        <w:rPr>
          <w:rStyle w:val="FootnoteReference"/>
          <w:sz w:val="22"/>
          <w:szCs w:val="22"/>
          <w:lang w:val="en-GB"/>
        </w:rPr>
        <w:footnoteReference w:id="11"/>
      </w:r>
      <w:r w:rsidRPr="00EE76D6">
        <w:rPr>
          <w:sz w:val="22"/>
          <w:szCs w:val="22"/>
          <w:lang w:val="en-GB"/>
        </w:rPr>
        <w:t>). The Cufada Lagoon National Park (NP) has been designated as a wetland site of international importance under the Ramsar Convention and several other potential sites in Guinea-Bissau are currently being assessed.</w:t>
      </w:r>
    </w:p>
    <w:p w:rsidR="00AA447D" w:rsidRPr="00EE76D6" w:rsidRDefault="00AA447D" w:rsidP="00AA447D">
      <w:pPr>
        <w:pStyle w:val="Footer"/>
        <w:tabs>
          <w:tab w:val="clear" w:pos="4320"/>
          <w:tab w:val="clear" w:pos="8640"/>
        </w:tabs>
        <w:ind w:left="0"/>
        <w:contextualSpacing/>
        <w:jc w:val="both"/>
        <w:rPr>
          <w:sz w:val="22"/>
          <w:szCs w:val="22"/>
          <w:lang w:val="en-GB"/>
        </w:rPr>
      </w:pPr>
    </w:p>
    <w:p w:rsidR="00AA447D" w:rsidRPr="00EE76D6" w:rsidRDefault="00354234" w:rsidP="00894F70">
      <w:pPr>
        <w:pStyle w:val="Footer"/>
        <w:numPr>
          <w:ilvl w:val="0"/>
          <w:numId w:val="24"/>
        </w:numPr>
        <w:tabs>
          <w:tab w:val="clear" w:pos="4320"/>
          <w:tab w:val="clear" w:pos="8640"/>
        </w:tabs>
        <w:ind w:left="0" w:firstLine="0"/>
        <w:contextualSpacing/>
        <w:jc w:val="both"/>
        <w:rPr>
          <w:sz w:val="22"/>
          <w:szCs w:val="22"/>
          <w:lang w:val="en-GB"/>
        </w:rPr>
      </w:pPr>
      <w:r w:rsidRPr="00EE76D6">
        <w:rPr>
          <w:sz w:val="22"/>
          <w:szCs w:val="22"/>
          <w:lang w:val="en-GB"/>
        </w:rPr>
        <w:t>In the</w:t>
      </w:r>
      <w:r w:rsidR="00E059E7" w:rsidRPr="00EE76D6">
        <w:rPr>
          <w:sz w:val="22"/>
          <w:szCs w:val="22"/>
          <w:lang w:val="en-GB"/>
        </w:rPr>
        <w:t xml:space="preserve"> </w:t>
      </w:r>
      <w:r w:rsidR="004E0FBF" w:rsidRPr="00EE76D6">
        <w:rPr>
          <w:sz w:val="22"/>
          <w:szCs w:val="22"/>
          <w:lang w:val="en-GB"/>
        </w:rPr>
        <w:t xml:space="preserve">south and </w:t>
      </w:r>
      <w:r w:rsidRPr="00EE76D6">
        <w:rPr>
          <w:sz w:val="22"/>
          <w:szCs w:val="22"/>
          <w:lang w:val="en-GB"/>
        </w:rPr>
        <w:t>south-east, the continental portion of the country</w:t>
      </w:r>
      <w:r w:rsidR="00E059E7" w:rsidRPr="00EE76D6">
        <w:rPr>
          <w:sz w:val="22"/>
          <w:szCs w:val="22"/>
          <w:lang w:val="en-GB"/>
        </w:rPr>
        <w:t xml:space="preserve"> </w:t>
      </w:r>
      <w:r w:rsidRPr="00EE76D6">
        <w:rPr>
          <w:sz w:val="22"/>
          <w:szCs w:val="22"/>
          <w:lang w:val="en-GB"/>
        </w:rPr>
        <w:t>features the Forest Belt region</w:t>
      </w:r>
      <w:r w:rsidR="00AD2E77" w:rsidRPr="00EE76D6">
        <w:rPr>
          <w:sz w:val="22"/>
          <w:szCs w:val="22"/>
          <w:lang w:val="en-GB"/>
        </w:rPr>
        <w:t xml:space="preserve"> that is</w:t>
      </w:r>
      <w:r w:rsidR="00663983" w:rsidRPr="00EE76D6">
        <w:rPr>
          <w:sz w:val="22"/>
          <w:szCs w:val="22"/>
          <w:lang w:val="en-GB"/>
        </w:rPr>
        <w:t xml:space="preserve"> </w:t>
      </w:r>
      <w:r w:rsidR="00AD2E77" w:rsidRPr="00EE76D6">
        <w:rPr>
          <w:sz w:val="22"/>
          <w:szCs w:val="22"/>
          <w:lang w:val="en-GB"/>
        </w:rPr>
        <w:t>equally important in terms of global and regional biodiversity. It is characterized</w:t>
      </w:r>
      <w:r w:rsidRPr="00EE76D6">
        <w:rPr>
          <w:sz w:val="22"/>
          <w:szCs w:val="22"/>
          <w:lang w:val="en-GB"/>
        </w:rPr>
        <w:t xml:space="preserve"> by patches of dense forests and open forests, predominantly intertwined with woodland savannahs</w:t>
      </w:r>
      <w:r w:rsidR="00663983" w:rsidRPr="00EE76D6">
        <w:rPr>
          <w:sz w:val="22"/>
          <w:szCs w:val="22"/>
          <w:lang w:val="en-GB"/>
        </w:rPr>
        <w:t xml:space="preserve"> </w:t>
      </w:r>
      <w:r w:rsidR="00AD2E77" w:rsidRPr="00EE76D6">
        <w:rPr>
          <w:sz w:val="22"/>
          <w:szCs w:val="22"/>
          <w:lang w:val="en-GB"/>
        </w:rPr>
        <w:t xml:space="preserve">that are rich in globally significant plant and animal life and a refuge for many migratory species that move across the West-African savannahs. </w:t>
      </w:r>
      <w:r w:rsidR="00E11D89" w:rsidRPr="00EE76D6">
        <w:rPr>
          <w:sz w:val="22"/>
          <w:szCs w:val="22"/>
          <w:lang w:val="en-GB"/>
        </w:rPr>
        <w:t xml:space="preserve">The Forest Belt </w:t>
      </w:r>
      <w:r w:rsidR="00AD2E77" w:rsidRPr="00EE76D6">
        <w:rPr>
          <w:sz w:val="22"/>
          <w:szCs w:val="22"/>
          <w:lang w:val="en-GB"/>
        </w:rPr>
        <w:t>contains</w:t>
      </w:r>
      <w:r w:rsidR="0089038C" w:rsidRPr="00EE76D6">
        <w:rPr>
          <w:sz w:val="22"/>
          <w:szCs w:val="22"/>
          <w:lang w:val="en-GB"/>
        </w:rPr>
        <w:t xml:space="preserve"> or contained</w:t>
      </w:r>
      <w:r w:rsidR="00AD2E77" w:rsidRPr="00EE76D6">
        <w:rPr>
          <w:sz w:val="22"/>
          <w:szCs w:val="22"/>
          <w:lang w:val="en-GB"/>
        </w:rPr>
        <w:t xml:space="preserve"> several endemic and rare and threatened species of birds, higher plants, reptiles and mammals, including </w:t>
      </w:r>
      <w:r w:rsidR="00B909D0" w:rsidRPr="00EE76D6">
        <w:rPr>
          <w:sz w:val="22"/>
          <w:szCs w:val="22"/>
          <w:lang w:val="en-GB"/>
        </w:rPr>
        <w:t xml:space="preserve">African </w:t>
      </w:r>
      <w:r w:rsidR="0089038C" w:rsidRPr="00EE76D6">
        <w:rPr>
          <w:sz w:val="22"/>
          <w:szCs w:val="22"/>
          <w:lang w:val="en-GB"/>
        </w:rPr>
        <w:t>W</w:t>
      </w:r>
      <w:r w:rsidR="00B909D0" w:rsidRPr="00EE76D6">
        <w:rPr>
          <w:sz w:val="22"/>
          <w:szCs w:val="22"/>
          <w:lang w:val="en-GB"/>
        </w:rPr>
        <w:t xml:space="preserve">ild </w:t>
      </w:r>
      <w:r w:rsidR="0089038C" w:rsidRPr="00EE76D6">
        <w:rPr>
          <w:sz w:val="22"/>
          <w:szCs w:val="22"/>
          <w:lang w:val="en-GB"/>
        </w:rPr>
        <w:t>D</w:t>
      </w:r>
      <w:r w:rsidR="00B909D0" w:rsidRPr="00EE76D6">
        <w:rPr>
          <w:sz w:val="22"/>
          <w:szCs w:val="22"/>
          <w:lang w:val="en-GB"/>
        </w:rPr>
        <w:t>og (</w:t>
      </w:r>
      <w:r w:rsidR="00B909D0" w:rsidRPr="00EE76D6">
        <w:rPr>
          <w:i/>
          <w:sz w:val="22"/>
          <w:szCs w:val="22"/>
          <w:lang w:val="en-GB"/>
        </w:rPr>
        <w:t>Lycaon pictus</w:t>
      </w:r>
      <w:r w:rsidR="00B909D0" w:rsidRPr="00EE76D6">
        <w:rPr>
          <w:sz w:val="22"/>
          <w:szCs w:val="22"/>
          <w:lang w:val="en-GB"/>
        </w:rPr>
        <w:t xml:space="preserve"> EN), </w:t>
      </w:r>
      <w:r w:rsidR="00DB1839" w:rsidRPr="00EE76D6">
        <w:rPr>
          <w:sz w:val="22"/>
          <w:szCs w:val="22"/>
          <w:lang w:val="en-GB"/>
        </w:rPr>
        <w:t>Afri</w:t>
      </w:r>
      <w:r w:rsidR="0089038C" w:rsidRPr="00EE76D6">
        <w:rPr>
          <w:sz w:val="22"/>
          <w:szCs w:val="22"/>
          <w:lang w:val="en-GB"/>
        </w:rPr>
        <w:t>can Dwarf Crocodile (</w:t>
      </w:r>
      <w:r w:rsidR="0089038C" w:rsidRPr="00EE76D6">
        <w:rPr>
          <w:i/>
          <w:sz w:val="22"/>
          <w:szCs w:val="22"/>
          <w:lang w:val="en-GB"/>
        </w:rPr>
        <w:t>Osteolaemus tetraspis</w:t>
      </w:r>
      <w:r w:rsidR="0089038C" w:rsidRPr="00EE76D6">
        <w:rPr>
          <w:sz w:val="22"/>
          <w:szCs w:val="22"/>
          <w:lang w:val="en-GB"/>
        </w:rPr>
        <w:t xml:space="preserve"> VU), Lion (</w:t>
      </w:r>
      <w:r w:rsidR="0089038C" w:rsidRPr="00EE76D6">
        <w:rPr>
          <w:i/>
          <w:sz w:val="22"/>
          <w:szCs w:val="22"/>
          <w:lang w:val="en-GB"/>
        </w:rPr>
        <w:t>Panthera leo</w:t>
      </w:r>
      <w:r w:rsidR="0089038C" w:rsidRPr="00EE76D6">
        <w:rPr>
          <w:sz w:val="22"/>
          <w:szCs w:val="22"/>
          <w:lang w:val="en-GB"/>
        </w:rPr>
        <w:t xml:space="preserve"> VU), </w:t>
      </w:r>
      <w:r w:rsidR="00E11D89" w:rsidRPr="00EE76D6">
        <w:rPr>
          <w:sz w:val="22"/>
          <w:szCs w:val="22"/>
          <w:lang w:val="en-GB"/>
        </w:rPr>
        <w:t>African Elephant</w:t>
      </w:r>
      <w:r w:rsidR="00AD2E77" w:rsidRPr="00EE76D6">
        <w:rPr>
          <w:sz w:val="22"/>
          <w:szCs w:val="22"/>
          <w:lang w:val="en-GB"/>
        </w:rPr>
        <w:t xml:space="preserve"> </w:t>
      </w:r>
      <w:r w:rsidR="00176114" w:rsidRPr="00EE76D6">
        <w:rPr>
          <w:sz w:val="22"/>
          <w:szCs w:val="22"/>
          <w:lang w:val="en-GB"/>
        </w:rPr>
        <w:t>(</w:t>
      </w:r>
      <w:r w:rsidR="00176114" w:rsidRPr="00EE76D6">
        <w:rPr>
          <w:i/>
          <w:iCs/>
          <w:sz w:val="22"/>
          <w:szCs w:val="22"/>
          <w:lang w:val="en-GB"/>
        </w:rPr>
        <w:t xml:space="preserve">Loxodonta </w:t>
      </w:r>
      <w:r w:rsidR="00007C15" w:rsidRPr="00EE76D6">
        <w:rPr>
          <w:i/>
          <w:iCs/>
          <w:sz w:val="22"/>
          <w:szCs w:val="22"/>
          <w:lang w:val="en-GB"/>
        </w:rPr>
        <w:t xml:space="preserve">africana </w:t>
      </w:r>
      <w:r w:rsidR="00007C15" w:rsidRPr="00EE76D6">
        <w:rPr>
          <w:iCs/>
          <w:sz w:val="22"/>
          <w:szCs w:val="22"/>
          <w:lang w:val="en-GB"/>
        </w:rPr>
        <w:t>VU</w:t>
      </w:r>
      <w:r w:rsidR="00176114" w:rsidRPr="00EE76D6">
        <w:rPr>
          <w:sz w:val="22"/>
          <w:szCs w:val="22"/>
          <w:lang w:val="en-GB"/>
        </w:rPr>
        <w:t>),</w:t>
      </w:r>
      <w:r w:rsidR="00AD2E77" w:rsidRPr="00EE76D6">
        <w:rPr>
          <w:sz w:val="22"/>
          <w:szCs w:val="22"/>
          <w:lang w:val="en-GB"/>
        </w:rPr>
        <w:t xml:space="preserve"> large ungulates such as </w:t>
      </w:r>
      <w:r w:rsidR="00E11D89" w:rsidRPr="00EE76D6">
        <w:rPr>
          <w:sz w:val="22"/>
          <w:szCs w:val="22"/>
          <w:lang w:val="en-GB"/>
        </w:rPr>
        <w:t>African B</w:t>
      </w:r>
      <w:r w:rsidR="00AD2E77" w:rsidRPr="00EE76D6">
        <w:rPr>
          <w:sz w:val="22"/>
          <w:szCs w:val="22"/>
          <w:lang w:val="en-GB"/>
        </w:rPr>
        <w:t>uffalo (</w:t>
      </w:r>
      <w:r w:rsidR="00AD2E77" w:rsidRPr="00EE76D6">
        <w:rPr>
          <w:i/>
          <w:iCs/>
          <w:sz w:val="22"/>
          <w:szCs w:val="22"/>
          <w:lang w:val="en-GB"/>
        </w:rPr>
        <w:t>Syncerus</w:t>
      </w:r>
      <w:r w:rsidR="00663983" w:rsidRPr="00EE76D6">
        <w:rPr>
          <w:i/>
          <w:iCs/>
          <w:sz w:val="22"/>
          <w:szCs w:val="22"/>
          <w:lang w:val="en-GB"/>
        </w:rPr>
        <w:t xml:space="preserve"> </w:t>
      </w:r>
      <w:r w:rsidR="00E11D89" w:rsidRPr="00EE76D6">
        <w:rPr>
          <w:i/>
          <w:iCs/>
          <w:sz w:val="22"/>
          <w:szCs w:val="22"/>
          <w:lang w:val="en-GB"/>
        </w:rPr>
        <w:t>caffer</w:t>
      </w:r>
      <w:r w:rsidR="00AD2E77" w:rsidRPr="00EE76D6">
        <w:rPr>
          <w:sz w:val="22"/>
          <w:szCs w:val="22"/>
          <w:lang w:val="en-GB"/>
        </w:rPr>
        <w:t xml:space="preserve">), </w:t>
      </w:r>
      <w:r w:rsidR="00E11D89" w:rsidRPr="00EE76D6">
        <w:rPr>
          <w:sz w:val="22"/>
          <w:szCs w:val="22"/>
          <w:lang w:val="en-GB"/>
        </w:rPr>
        <w:t>Hippopotamus</w:t>
      </w:r>
      <w:r w:rsidR="00AD2E77" w:rsidRPr="00EE76D6">
        <w:rPr>
          <w:sz w:val="22"/>
          <w:szCs w:val="22"/>
          <w:lang w:val="en-GB"/>
        </w:rPr>
        <w:t xml:space="preserve"> (</w:t>
      </w:r>
      <w:r w:rsidR="00AD2E77" w:rsidRPr="00EE76D6">
        <w:rPr>
          <w:i/>
          <w:iCs/>
          <w:sz w:val="22"/>
          <w:szCs w:val="22"/>
          <w:lang w:val="en-GB"/>
        </w:rPr>
        <w:t>Hyppopotamu</w:t>
      </w:r>
      <w:r w:rsidR="00E11D89" w:rsidRPr="00EE76D6">
        <w:rPr>
          <w:i/>
          <w:iCs/>
          <w:sz w:val="22"/>
          <w:szCs w:val="22"/>
          <w:lang w:val="en-GB"/>
        </w:rPr>
        <w:t>s</w:t>
      </w:r>
      <w:r w:rsidR="00663983" w:rsidRPr="00EE76D6">
        <w:rPr>
          <w:i/>
          <w:iCs/>
          <w:sz w:val="22"/>
          <w:szCs w:val="22"/>
          <w:lang w:val="en-GB"/>
        </w:rPr>
        <w:t xml:space="preserve"> </w:t>
      </w:r>
      <w:r w:rsidR="00AD2E77" w:rsidRPr="00EE76D6">
        <w:rPr>
          <w:i/>
          <w:iCs/>
          <w:sz w:val="22"/>
          <w:szCs w:val="22"/>
          <w:lang w:val="en-GB"/>
        </w:rPr>
        <w:t>amphibius</w:t>
      </w:r>
      <w:r w:rsidR="00176114" w:rsidRPr="00EE76D6">
        <w:rPr>
          <w:iCs/>
          <w:sz w:val="22"/>
          <w:szCs w:val="22"/>
          <w:lang w:val="en-GB"/>
        </w:rPr>
        <w:t xml:space="preserve"> VU</w:t>
      </w:r>
      <w:r w:rsidR="00AD2E77" w:rsidRPr="00EE76D6">
        <w:rPr>
          <w:sz w:val="22"/>
          <w:szCs w:val="22"/>
          <w:lang w:val="en-GB"/>
        </w:rPr>
        <w:t xml:space="preserve">) and </w:t>
      </w:r>
      <w:r w:rsidR="00E11D89" w:rsidRPr="00EE76D6">
        <w:rPr>
          <w:sz w:val="22"/>
          <w:szCs w:val="22"/>
          <w:lang w:val="en-GB"/>
        </w:rPr>
        <w:t>E</w:t>
      </w:r>
      <w:r w:rsidR="00AD2E77" w:rsidRPr="00EE76D6">
        <w:rPr>
          <w:sz w:val="22"/>
          <w:szCs w:val="22"/>
          <w:lang w:val="en-GB"/>
        </w:rPr>
        <w:t>land (</w:t>
      </w:r>
      <w:r w:rsidR="00AD2E77" w:rsidRPr="00EE76D6">
        <w:rPr>
          <w:i/>
          <w:iCs/>
          <w:sz w:val="22"/>
          <w:szCs w:val="22"/>
          <w:lang w:val="en-GB"/>
        </w:rPr>
        <w:t>Taurotragus</w:t>
      </w:r>
      <w:r w:rsidR="00663983" w:rsidRPr="00EE76D6">
        <w:rPr>
          <w:i/>
          <w:iCs/>
          <w:sz w:val="22"/>
          <w:szCs w:val="22"/>
          <w:lang w:val="en-GB"/>
        </w:rPr>
        <w:t xml:space="preserve"> </w:t>
      </w:r>
      <w:r w:rsidR="00AD2E77" w:rsidRPr="00EE76D6">
        <w:rPr>
          <w:i/>
          <w:iCs/>
          <w:sz w:val="22"/>
          <w:szCs w:val="22"/>
          <w:lang w:val="en-GB"/>
        </w:rPr>
        <w:t>derbianus</w:t>
      </w:r>
      <w:r w:rsidR="00E11D89" w:rsidRPr="00EE76D6">
        <w:rPr>
          <w:sz w:val="22"/>
          <w:szCs w:val="22"/>
          <w:lang w:val="en-GB"/>
        </w:rPr>
        <w:t>).</w:t>
      </w:r>
      <w:r w:rsidR="00AD2E77" w:rsidRPr="00EE76D6">
        <w:rPr>
          <w:sz w:val="22"/>
          <w:szCs w:val="22"/>
          <w:lang w:val="en-GB"/>
        </w:rPr>
        <w:t xml:space="preserve"> Dozens of families of chimpanzees (</w:t>
      </w:r>
      <w:r w:rsidR="00AD2E77" w:rsidRPr="00EE76D6">
        <w:rPr>
          <w:i/>
          <w:iCs/>
          <w:sz w:val="22"/>
          <w:szCs w:val="22"/>
          <w:lang w:val="en-GB"/>
        </w:rPr>
        <w:t>Pan troglodytes</w:t>
      </w:r>
      <w:r w:rsidR="009B53CA" w:rsidRPr="00EE76D6">
        <w:rPr>
          <w:i/>
          <w:iCs/>
          <w:sz w:val="22"/>
          <w:szCs w:val="22"/>
          <w:lang w:val="en-GB"/>
        </w:rPr>
        <w:t xml:space="preserve"> </w:t>
      </w:r>
      <w:r w:rsidR="00176114" w:rsidRPr="00EE76D6">
        <w:rPr>
          <w:iCs/>
          <w:sz w:val="22"/>
          <w:szCs w:val="22"/>
          <w:lang w:val="en-GB"/>
        </w:rPr>
        <w:t>EN</w:t>
      </w:r>
      <w:r w:rsidR="00AD2E77" w:rsidRPr="00EE76D6">
        <w:rPr>
          <w:sz w:val="22"/>
          <w:szCs w:val="22"/>
          <w:lang w:val="en-GB"/>
        </w:rPr>
        <w:t>) inhabit that area and are poorly studie</w:t>
      </w:r>
      <w:r w:rsidR="002F2D6E" w:rsidRPr="00EE76D6">
        <w:rPr>
          <w:sz w:val="22"/>
          <w:szCs w:val="22"/>
          <w:lang w:val="en-GB"/>
        </w:rPr>
        <w:t>d</w:t>
      </w:r>
      <w:r w:rsidR="00AD2E77" w:rsidRPr="00EE76D6">
        <w:rPr>
          <w:sz w:val="22"/>
          <w:szCs w:val="22"/>
          <w:lang w:val="en-GB"/>
        </w:rPr>
        <w:t>.</w:t>
      </w:r>
      <w:r w:rsidR="00DB1839" w:rsidRPr="00EE76D6">
        <w:rPr>
          <w:sz w:val="22"/>
          <w:szCs w:val="22"/>
          <w:lang w:val="en-GB"/>
        </w:rPr>
        <w:t xml:space="preserve"> Other threatened primates include Sooty Mangabey (</w:t>
      </w:r>
      <w:r w:rsidR="00DB1839" w:rsidRPr="00EE76D6">
        <w:rPr>
          <w:i/>
          <w:sz w:val="22"/>
          <w:szCs w:val="22"/>
          <w:lang w:val="en-GB"/>
        </w:rPr>
        <w:t>Cercocebus atys</w:t>
      </w:r>
      <w:r w:rsidR="00DB1839" w:rsidRPr="00EE76D6">
        <w:rPr>
          <w:sz w:val="22"/>
          <w:szCs w:val="22"/>
          <w:lang w:val="en-GB"/>
        </w:rPr>
        <w:t xml:space="preserve"> VU),</w:t>
      </w:r>
      <w:r w:rsidR="00AD2E77" w:rsidRPr="00EE76D6">
        <w:rPr>
          <w:sz w:val="22"/>
          <w:szCs w:val="22"/>
          <w:lang w:val="en-GB"/>
        </w:rPr>
        <w:t xml:space="preserve"> </w:t>
      </w:r>
      <w:r w:rsidR="00DB1839" w:rsidRPr="00EE76D6">
        <w:rPr>
          <w:sz w:val="22"/>
          <w:szCs w:val="22"/>
          <w:lang w:val="en-GB"/>
        </w:rPr>
        <w:t>West Af</w:t>
      </w:r>
      <w:r w:rsidR="00B766D3" w:rsidRPr="00EE76D6">
        <w:rPr>
          <w:sz w:val="22"/>
          <w:szCs w:val="22"/>
          <w:lang w:val="en-GB"/>
        </w:rPr>
        <w:t>rican Red Colobus (</w:t>
      </w:r>
      <w:r w:rsidR="00B766D3" w:rsidRPr="00EE76D6">
        <w:rPr>
          <w:i/>
          <w:sz w:val="22"/>
          <w:szCs w:val="22"/>
          <w:lang w:val="en-GB"/>
        </w:rPr>
        <w:t>Procolobus badius</w:t>
      </w:r>
      <w:r w:rsidR="00B766D3" w:rsidRPr="00EE76D6">
        <w:rPr>
          <w:sz w:val="22"/>
          <w:szCs w:val="22"/>
          <w:lang w:val="en-GB"/>
        </w:rPr>
        <w:t xml:space="preserve"> EN) and King Colobus</w:t>
      </w:r>
      <w:r w:rsidR="00B766D3" w:rsidRPr="00EE76D6">
        <w:rPr>
          <w:i/>
          <w:sz w:val="22"/>
          <w:szCs w:val="22"/>
          <w:lang w:val="en-GB"/>
        </w:rPr>
        <w:t xml:space="preserve"> (Colobus polykomos</w:t>
      </w:r>
      <w:r w:rsidR="00B766D3" w:rsidRPr="00EE76D6">
        <w:rPr>
          <w:sz w:val="22"/>
          <w:szCs w:val="22"/>
          <w:lang w:val="en-GB"/>
        </w:rPr>
        <w:t xml:space="preserve"> VU). </w:t>
      </w:r>
      <w:r w:rsidRPr="00EE76D6">
        <w:rPr>
          <w:sz w:val="22"/>
          <w:szCs w:val="22"/>
          <w:lang w:val="en-GB"/>
        </w:rPr>
        <w:t xml:space="preserve">With habitat fragmentation and pressures on natural resources increasing throughout West Africa, </w:t>
      </w:r>
      <w:r w:rsidR="00B909D0" w:rsidRPr="00EE76D6">
        <w:rPr>
          <w:sz w:val="22"/>
          <w:szCs w:val="22"/>
          <w:lang w:val="en-GB"/>
        </w:rPr>
        <w:t xml:space="preserve">areas </w:t>
      </w:r>
      <w:r w:rsidRPr="00EE76D6">
        <w:rPr>
          <w:sz w:val="22"/>
          <w:szCs w:val="22"/>
          <w:lang w:val="en-GB"/>
        </w:rPr>
        <w:t xml:space="preserve">such as the Forest Belt of </w:t>
      </w:r>
      <w:r w:rsidR="00F71D3E" w:rsidRPr="00EE76D6">
        <w:rPr>
          <w:sz w:val="22"/>
          <w:szCs w:val="22"/>
          <w:lang w:val="en-GB"/>
        </w:rPr>
        <w:t>Guinea-Bissau</w:t>
      </w:r>
      <w:r w:rsidRPr="00EE76D6">
        <w:rPr>
          <w:sz w:val="22"/>
          <w:szCs w:val="22"/>
          <w:lang w:val="en-GB"/>
        </w:rPr>
        <w:t xml:space="preserve"> are rapidly becoming critical refuges for emblematic</w:t>
      </w:r>
      <w:r w:rsidR="006D711F">
        <w:rPr>
          <w:sz w:val="22"/>
          <w:szCs w:val="22"/>
          <w:lang w:val="en-GB"/>
        </w:rPr>
        <w:t xml:space="preserve"> and </w:t>
      </w:r>
      <w:r w:rsidRPr="00EE76D6">
        <w:rPr>
          <w:sz w:val="22"/>
          <w:szCs w:val="22"/>
          <w:lang w:val="en-GB"/>
        </w:rPr>
        <w:t xml:space="preserve">threatened species </w:t>
      </w:r>
      <w:r w:rsidR="00B909D0" w:rsidRPr="00EE76D6">
        <w:rPr>
          <w:sz w:val="22"/>
          <w:szCs w:val="22"/>
          <w:lang w:val="en-GB"/>
        </w:rPr>
        <w:t xml:space="preserve">in the region </w:t>
      </w:r>
      <w:r w:rsidRPr="00EE76D6">
        <w:rPr>
          <w:sz w:val="22"/>
          <w:szCs w:val="22"/>
          <w:lang w:val="en-GB"/>
        </w:rPr>
        <w:t xml:space="preserve">while providing </w:t>
      </w:r>
      <w:r w:rsidR="00AD47B0" w:rsidRPr="00EE76D6">
        <w:rPr>
          <w:sz w:val="22"/>
          <w:szCs w:val="22"/>
          <w:lang w:val="en-GB"/>
        </w:rPr>
        <w:t>important</w:t>
      </w:r>
      <w:r w:rsidR="00663983" w:rsidRPr="00EE76D6">
        <w:rPr>
          <w:sz w:val="22"/>
          <w:szCs w:val="22"/>
          <w:lang w:val="en-GB"/>
        </w:rPr>
        <w:t xml:space="preserve"> </w:t>
      </w:r>
      <w:r w:rsidR="00AD47B0" w:rsidRPr="00EE76D6">
        <w:rPr>
          <w:sz w:val="22"/>
          <w:szCs w:val="22"/>
          <w:lang w:val="en-GB"/>
        </w:rPr>
        <w:t xml:space="preserve">national and transnational </w:t>
      </w:r>
      <w:r w:rsidRPr="00EE76D6">
        <w:rPr>
          <w:sz w:val="22"/>
          <w:szCs w:val="22"/>
          <w:lang w:val="en-GB"/>
        </w:rPr>
        <w:t>biological corridors and migration routes for large mammals.</w:t>
      </w:r>
    </w:p>
    <w:p w:rsidR="00AA447D" w:rsidRPr="00A030F3" w:rsidRDefault="00AA447D" w:rsidP="00AA447D">
      <w:pPr>
        <w:pStyle w:val="Footer"/>
        <w:tabs>
          <w:tab w:val="clear" w:pos="4320"/>
          <w:tab w:val="clear" w:pos="8640"/>
        </w:tabs>
        <w:ind w:left="0"/>
        <w:contextualSpacing/>
        <w:jc w:val="both"/>
        <w:rPr>
          <w:sz w:val="22"/>
          <w:szCs w:val="22"/>
          <w:lang w:val="en-GB"/>
        </w:rPr>
      </w:pPr>
    </w:p>
    <w:p w:rsidR="00AA447D" w:rsidRPr="00EE76D6" w:rsidRDefault="0009572F" w:rsidP="000E7308">
      <w:pPr>
        <w:pStyle w:val="Footer"/>
        <w:numPr>
          <w:ilvl w:val="0"/>
          <w:numId w:val="24"/>
        </w:numPr>
        <w:tabs>
          <w:tab w:val="clear" w:pos="4320"/>
          <w:tab w:val="clear" w:pos="8640"/>
        </w:tabs>
        <w:ind w:left="0" w:firstLine="0"/>
        <w:contextualSpacing/>
        <w:jc w:val="both"/>
        <w:rPr>
          <w:sz w:val="22"/>
          <w:szCs w:val="22"/>
          <w:lang w:val="en-GB"/>
        </w:rPr>
      </w:pPr>
      <w:r w:rsidRPr="00EE76D6">
        <w:rPr>
          <w:sz w:val="22"/>
          <w:szCs w:val="22"/>
          <w:u w:val="single"/>
          <w:lang w:val="en-GB"/>
        </w:rPr>
        <w:t>Threats to Biodiversity</w:t>
      </w:r>
      <w:r w:rsidRPr="00EE76D6">
        <w:rPr>
          <w:sz w:val="22"/>
          <w:szCs w:val="22"/>
          <w:lang w:val="en-GB"/>
        </w:rPr>
        <w:t xml:space="preserve">: </w:t>
      </w:r>
      <w:r w:rsidR="002F2D6E" w:rsidRPr="00EE76D6">
        <w:rPr>
          <w:sz w:val="22"/>
          <w:szCs w:val="22"/>
          <w:lang w:val="en-GB"/>
        </w:rPr>
        <w:t>This rich biodiver</w:t>
      </w:r>
      <w:r w:rsidR="001D238B" w:rsidRPr="00EE76D6">
        <w:rPr>
          <w:sz w:val="22"/>
          <w:szCs w:val="22"/>
          <w:lang w:val="en-GB"/>
        </w:rPr>
        <w:t>sity is under increasing threat</w:t>
      </w:r>
      <w:r w:rsidR="002F2D6E" w:rsidRPr="00EE76D6">
        <w:rPr>
          <w:sz w:val="22"/>
          <w:szCs w:val="22"/>
          <w:lang w:val="en-GB"/>
        </w:rPr>
        <w:t xml:space="preserve">. In the coastal and marine areas these stem from </w:t>
      </w:r>
      <w:r w:rsidR="00663983" w:rsidRPr="00EE76D6">
        <w:rPr>
          <w:sz w:val="22"/>
          <w:szCs w:val="22"/>
          <w:lang w:val="en-GB"/>
        </w:rPr>
        <w:t>subsistence activities such as itinerant agriculture, rice production, artisanal fishing and the extraction of fuel</w:t>
      </w:r>
      <w:r w:rsidR="00896740" w:rsidRPr="00EE76D6">
        <w:rPr>
          <w:sz w:val="22"/>
          <w:szCs w:val="22"/>
          <w:lang w:val="en-GB"/>
        </w:rPr>
        <w:t xml:space="preserve"> </w:t>
      </w:r>
      <w:r w:rsidR="00663983" w:rsidRPr="00EE76D6">
        <w:rPr>
          <w:sz w:val="22"/>
          <w:szCs w:val="22"/>
          <w:lang w:val="en-GB"/>
        </w:rPr>
        <w:t>wood from forests and mangroves</w:t>
      </w:r>
      <w:r w:rsidR="00E059E7" w:rsidRPr="00EE76D6">
        <w:rPr>
          <w:sz w:val="22"/>
          <w:szCs w:val="22"/>
          <w:lang w:val="en-GB"/>
        </w:rPr>
        <w:t xml:space="preserve"> as well as the rapidly growing and weakly regulated industrial fishing sector</w:t>
      </w:r>
      <w:r w:rsidR="003A0418" w:rsidRPr="00EE76D6">
        <w:rPr>
          <w:sz w:val="22"/>
          <w:szCs w:val="22"/>
          <w:lang w:val="en-GB"/>
        </w:rPr>
        <w:t xml:space="preserve">. In </w:t>
      </w:r>
      <w:r w:rsidR="00896740" w:rsidRPr="00EE76D6">
        <w:rPr>
          <w:sz w:val="22"/>
          <w:szCs w:val="22"/>
          <w:lang w:val="en-GB"/>
        </w:rPr>
        <w:t>the F</w:t>
      </w:r>
      <w:r w:rsidR="00AD2E77" w:rsidRPr="00EE76D6">
        <w:rPr>
          <w:sz w:val="22"/>
          <w:szCs w:val="22"/>
          <w:lang w:val="en-GB"/>
        </w:rPr>
        <w:t xml:space="preserve">orest </w:t>
      </w:r>
      <w:r w:rsidR="00896740" w:rsidRPr="00EE76D6">
        <w:rPr>
          <w:sz w:val="22"/>
          <w:szCs w:val="22"/>
          <w:lang w:val="en-GB"/>
        </w:rPr>
        <w:t>B</w:t>
      </w:r>
      <w:r w:rsidR="00AD2E77" w:rsidRPr="00EE76D6">
        <w:rPr>
          <w:sz w:val="22"/>
          <w:szCs w:val="22"/>
          <w:lang w:val="en-GB"/>
        </w:rPr>
        <w:t xml:space="preserve">elt </w:t>
      </w:r>
      <w:r w:rsidR="003A0418" w:rsidRPr="00EE76D6">
        <w:rPr>
          <w:sz w:val="22"/>
          <w:szCs w:val="22"/>
          <w:lang w:val="en-GB"/>
        </w:rPr>
        <w:t xml:space="preserve">threats are </w:t>
      </w:r>
      <w:r w:rsidR="002F2D6E" w:rsidRPr="00EE76D6">
        <w:rPr>
          <w:sz w:val="22"/>
          <w:szCs w:val="22"/>
          <w:lang w:val="en-GB"/>
        </w:rPr>
        <w:t xml:space="preserve">also </w:t>
      </w:r>
      <w:r w:rsidR="003A0418" w:rsidRPr="00EE76D6">
        <w:rPr>
          <w:sz w:val="22"/>
          <w:szCs w:val="22"/>
          <w:lang w:val="en-GB"/>
        </w:rPr>
        <w:t>increasing and include</w:t>
      </w:r>
      <w:r w:rsidR="00F367E2" w:rsidRPr="00EE76D6">
        <w:rPr>
          <w:sz w:val="22"/>
          <w:szCs w:val="22"/>
          <w:lang w:val="en-GB"/>
        </w:rPr>
        <w:t xml:space="preserve"> </w:t>
      </w:r>
      <w:r w:rsidR="00AD2E77" w:rsidRPr="00EE76D6">
        <w:rPr>
          <w:sz w:val="22"/>
          <w:szCs w:val="22"/>
          <w:lang w:val="en-GB"/>
        </w:rPr>
        <w:t>practices such as shifting agriculture, subsistence hunting, charcoal manufacturing, indiscriminate felling of forest resources and the rapid expansion of cashew nut plantations. These practices, often associated with rural poverty, involve the unsustainable exploitation of soil, water and forest resources. The development index of Guinea-Bissau is one of the lowest in the world, with</w:t>
      </w:r>
      <w:r w:rsidR="009B53CA" w:rsidRPr="00EE76D6">
        <w:rPr>
          <w:sz w:val="22"/>
          <w:szCs w:val="22"/>
          <w:lang w:val="en-GB"/>
        </w:rPr>
        <w:t xml:space="preserve"> </w:t>
      </w:r>
      <w:r w:rsidR="00AD2E77" w:rsidRPr="00EE76D6">
        <w:rPr>
          <w:sz w:val="22"/>
          <w:szCs w:val="22"/>
          <w:lang w:val="en-GB"/>
        </w:rPr>
        <w:t>one of the highest maternal death rates in the world, a life expectancy at birth of only 49 years and considerable disparity in income distribution. The country’s</w:t>
      </w:r>
      <w:r w:rsidR="00896740" w:rsidRPr="00EE76D6">
        <w:rPr>
          <w:sz w:val="22"/>
          <w:szCs w:val="22"/>
          <w:lang w:val="en-GB"/>
        </w:rPr>
        <w:t xml:space="preserve"> </w:t>
      </w:r>
      <w:r w:rsidR="00AD2E77" w:rsidRPr="00EE76D6">
        <w:rPr>
          <w:sz w:val="22"/>
          <w:szCs w:val="22"/>
          <w:lang w:val="en-GB"/>
        </w:rPr>
        <w:t xml:space="preserve">population was estimated </w:t>
      </w:r>
      <w:r w:rsidR="009B53CA" w:rsidRPr="00EE76D6">
        <w:rPr>
          <w:sz w:val="22"/>
          <w:szCs w:val="22"/>
          <w:lang w:val="en-GB"/>
        </w:rPr>
        <w:t xml:space="preserve">in 2011 </w:t>
      </w:r>
      <w:r w:rsidR="00AD2E77" w:rsidRPr="00EE76D6">
        <w:rPr>
          <w:sz w:val="22"/>
          <w:szCs w:val="22"/>
          <w:lang w:val="en-GB"/>
        </w:rPr>
        <w:t>at 1.6 million, with an an</w:t>
      </w:r>
      <w:r w:rsidR="00896740" w:rsidRPr="00EE76D6">
        <w:rPr>
          <w:sz w:val="22"/>
          <w:szCs w:val="22"/>
          <w:lang w:val="en-GB"/>
        </w:rPr>
        <w:t>nual average growth rate of 2</w:t>
      </w:r>
      <w:r w:rsidR="00AD2E77" w:rsidRPr="00EE76D6">
        <w:rPr>
          <w:sz w:val="22"/>
          <w:szCs w:val="22"/>
          <w:lang w:val="en-GB"/>
        </w:rPr>
        <w:t>%. Agriculture generates 80% of employment and 90% of exports, primarily through cashew nuts. Although, the exploitation of non-renewable resources, such as bauxite, phosphate and petroleum</w:t>
      </w:r>
      <w:r w:rsidR="009B53CA" w:rsidRPr="00EE76D6">
        <w:rPr>
          <w:sz w:val="22"/>
          <w:szCs w:val="22"/>
          <w:lang w:val="en-GB"/>
        </w:rPr>
        <w:t xml:space="preserve"> </w:t>
      </w:r>
      <w:r w:rsidR="00AD2E77" w:rsidRPr="00EE76D6">
        <w:rPr>
          <w:sz w:val="22"/>
          <w:szCs w:val="22"/>
          <w:lang w:val="en-GB"/>
        </w:rPr>
        <w:t xml:space="preserve">may become important drivers of future economic growth, the country still has poor infrastructure and weak social </w:t>
      </w:r>
      <w:r w:rsidR="00AD2E77" w:rsidRPr="00EE76D6">
        <w:rPr>
          <w:sz w:val="22"/>
          <w:szCs w:val="22"/>
          <w:lang w:val="en-GB"/>
        </w:rPr>
        <w:lastRenderedPageBreak/>
        <w:t xml:space="preserve">indicators, and more than two-thirds of the population live under the poverty line. Natural resources thus form the basis of the livelihood strategies for the majority of the population. In terrestrial ecosystems, subsistence livelihoods have historically led to deforestation and land degradation and this is still one </w:t>
      </w:r>
      <w:r w:rsidR="00896740" w:rsidRPr="00EE76D6">
        <w:rPr>
          <w:sz w:val="22"/>
          <w:szCs w:val="22"/>
          <w:lang w:val="en-GB"/>
        </w:rPr>
        <w:t xml:space="preserve">of </w:t>
      </w:r>
      <w:r w:rsidR="00AD2E77" w:rsidRPr="00EE76D6">
        <w:rPr>
          <w:sz w:val="22"/>
          <w:szCs w:val="22"/>
          <w:lang w:val="en-GB"/>
        </w:rPr>
        <w:t xml:space="preserve">the critical environmental problems confronting Guinea-Bissau. </w:t>
      </w:r>
      <w:r w:rsidRPr="00EE76D6">
        <w:rPr>
          <w:sz w:val="22"/>
          <w:szCs w:val="22"/>
          <w:lang w:val="en-GB"/>
        </w:rPr>
        <w:t xml:space="preserve">A time series analysis, derived from the use of remote sensing in selected portions of the Forest Belt, has documented that over a period of 17 years dense forest cover has decreased by an estimated 50% in the Boé area and 20% in the Dulombi area. Affected landscapes are subject to shifting cultivation, overgrazing, reduced ground water and surface water quantity, erosion, lowered soil fertility and ultimately the loss of biodiversity. </w:t>
      </w:r>
      <w:r w:rsidR="00894F70" w:rsidRPr="00EE76D6">
        <w:rPr>
          <w:sz w:val="22"/>
          <w:szCs w:val="22"/>
          <w:lang w:val="en-GB"/>
        </w:rPr>
        <w:t>The total forest area in the country, including mangrove ecosystems, open forests, sub-humid forests, natural palm forests and tree savannas amount to between 1.5 and 2 million h</w:t>
      </w:r>
      <w:r w:rsidR="004D59C6" w:rsidRPr="00EE76D6">
        <w:rPr>
          <w:sz w:val="22"/>
          <w:szCs w:val="22"/>
          <w:lang w:val="en-GB"/>
        </w:rPr>
        <w:t>a</w:t>
      </w:r>
      <w:r w:rsidR="00894F70" w:rsidRPr="00EE76D6">
        <w:rPr>
          <w:sz w:val="22"/>
          <w:szCs w:val="22"/>
          <w:lang w:val="en-GB"/>
        </w:rPr>
        <w:t>, or between 44 and 56% of the country</w:t>
      </w:r>
      <w:r w:rsidR="004D59C6" w:rsidRPr="00EE76D6">
        <w:rPr>
          <w:sz w:val="22"/>
          <w:szCs w:val="22"/>
          <w:lang w:val="en-GB"/>
        </w:rPr>
        <w:t xml:space="preserve"> area – </w:t>
      </w:r>
      <w:r w:rsidR="00894F70" w:rsidRPr="00EE76D6">
        <w:rPr>
          <w:sz w:val="22"/>
          <w:szCs w:val="22"/>
          <w:lang w:val="en-GB"/>
        </w:rPr>
        <w:t>but</w:t>
      </w:r>
      <w:r w:rsidR="004D59C6" w:rsidRPr="00EE76D6">
        <w:rPr>
          <w:sz w:val="22"/>
          <w:szCs w:val="22"/>
          <w:lang w:val="en-GB"/>
        </w:rPr>
        <w:t xml:space="preserve"> these have</w:t>
      </w:r>
      <w:r w:rsidR="00894F70" w:rsidRPr="00EE76D6">
        <w:rPr>
          <w:sz w:val="22"/>
          <w:szCs w:val="22"/>
          <w:lang w:val="en-GB"/>
        </w:rPr>
        <w:t xml:space="preserve"> been subject</w:t>
      </w:r>
      <w:r w:rsidR="004D59C6" w:rsidRPr="00EE76D6">
        <w:rPr>
          <w:sz w:val="22"/>
          <w:szCs w:val="22"/>
          <w:lang w:val="en-GB"/>
        </w:rPr>
        <w:t>ed</w:t>
      </w:r>
      <w:r w:rsidR="00894F70" w:rsidRPr="00EE76D6">
        <w:rPr>
          <w:sz w:val="22"/>
          <w:szCs w:val="22"/>
          <w:lang w:val="en-GB"/>
        </w:rPr>
        <w:t xml:space="preserve"> to deforestation at </w:t>
      </w:r>
      <w:r w:rsidR="004D59C6" w:rsidRPr="00EE76D6">
        <w:rPr>
          <w:sz w:val="22"/>
          <w:szCs w:val="22"/>
          <w:lang w:val="en-GB"/>
        </w:rPr>
        <w:t>a rate of 40,000-60,000 ha/yr</w:t>
      </w:r>
      <w:r w:rsidR="00894F70" w:rsidRPr="00EE76D6">
        <w:rPr>
          <w:sz w:val="22"/>
          <w:szCs w:val="22"/>
          <w:lang w:val="en-GB"/>
        </w:rPr>
        <w:t>.</w:t>
      </w:r>
    </w:p>
    <w:p w:rsidR="00AA447D" w:rsidRPr="00A030F3" w:rsidRDefault="00AA447D" w:rsidP="00AA447D">
      <w:pPr>
        <w:pStyle w:val="Footer"/>
        <w:tabs>
          <w:tab w:val="clear" w:pos="4320"/>
          <w:tab w:val="clear" w:pos="8640"/>
        </w:tabs>
        <w:ind w:left="0"/>
        <w:contextualSpacing/>
        <w:jc w:val="both"/>
        <w:rPr>
          <w:sz w:val="22"/>
          <w:szCs w:val="22"/>
          <w:lang w:val="en-GB"/>
        </w:rPr>
      </w:pPr>
    </w:p>
    <w:p w:rsidR="00AA447D" w:rsidRPr="00EE76D6" w:rsidRDefault="0009572F" w:rsidP="000E7308">
      <w:pPr>
        <w:pStyle w:val="Footer"/>
        <w:numPr>
          <w:ilvl w:val="0"/>
          <w:numId w:val="24"/>
        </w:numPr>
        <w:tabs>
          <w:tab w:val="clear" w:pos="4320"/>
          <w:tab w:val="clear" w:pos="8640"/>
        </w:tabs>
        <w:ind w:left="0" w:firstLine="0"/>
        <w:contextualSpacing/>
        <w:jc w:val="both"/>
        <w:rPr>
          <w:sz w:val="22"/>
          <w:szCs w:val="22"/>
          <w:lang w:val="en-GB"/>
        </w:rPr>
      </w:pPr>
      <w:r w:rsidRPr="00EE76D6">
        <w:rPr>
          <w:sz w:val="22"/>
          <w:szCs w:val="22"/>
          <w:u w:val="single"/>
          <w:lang w:val="en-GB"/>
        </w:rPr>
        <w:t>Protected Areas in Guinea Bissau</w:t>
      </w:r>
      <w:r w:rsidRPr="00EE76D6">
        <w:rPr>
          <w:sz w:val="22"/>
          <w:szCs w:val="22"/>
          <w:lang w:val="en-GB"/>
        </w:rPr>
        <w:t>:</w:t>
      </w:r>
      <w:r w:rsidR="00E059E7" w:rsidRPr="00EE76D6">
        <w:rPr>
          <w:sz w:val="22"/>
          <w:szCs w:val="22"/>
          <w:lang w:val="en-GB"/>
        </w:rPr>
        <w:t xml:space="preserve"> </w:t>
      </w:r>
      <w:r w:rsidR="00D4650D" w:rsidRPr="00EE76D6">
        <w:rPr>
          <w:sz w:val="22"/>
          <w:szCs w:val="22"/>
          <w:lang w:val="en-GB"/>
        </w:rPr>
        <w:t xml:space="preserve">The </w:t>
      </w:r>
      <w:r w:rsidRPr="00EE76D6">
        <w:rPr>
          <w:sz w:val="22"/>
          <w:szCs w:val="22"/>
          <w:lang w:val="en-GB"/>
        </w:rPr>
        <w:t xml:space="preserve">Government of Guinea-Bissau (GoGB) has made significant advances to address these threats by bringing under protection critical areas through a National Protected Areas System. </w:t>
      </w:r>
      <w:r w:rsidR="00780310" w:rsidRPr="00EE76D6">
        <w:rPr>
          <w:sz w:val="22"/>
          <w:szCs w:val="22"/>
          <w:lang w:val="en-GB"/>
        </w:rPr>
        <w:t>However</w:t>
      </w:r>
      <w:r w:rsidR="002B6B1B" w:rsidRPr="00EE76D6">
        <w:rPr>
          <w:sz w:val="22"/>
          <w:szCs w:val="22"/>
          <w:lang w:val="en-GB"/>
        </w:rPr>
        <w:t>,</w:t>
      </w:r>
      <w:r w:rsidR="00780310" w:rsidRPr="00EE76D6">
        <w:rPr>
          <w:sz w:val="22"/>
          <w:szCs w:val="22"/>
          <w:lang w:val="en-GB"/>
        </w:rPr>
        <w:t xml:space="preserve"> </w:t>
      </w:r>
      <w:r w:rsidR="00D4650D" w:rsidRPr="00EE76D6">
        <w:rPr>
          <w:sz w:val="22"/>
          <w:szCs w:val="22"/>
          <w:lang w:val="en-GB"/>
        </w:rPr>
        <w:t>the</w:t>
      </w:r>
      <w:r w:rsidR="00780310" w:rsidRPr="00EE76D6">
        <w:rPr>
          <w:sz w:val="22"/>
          <w:szCs w:val="22"/>
          <w:lang w:val="en-GB"/>
        </w:rPr>
        <w:t xml:space="preserve"> conservation status and associated investments in the coastal/marine biome and the terrestrial biome </w:t>
      </w:r>
      <w:r w:rsidR="00652E28" w:rsidRPr="005F6D4B">
        <w:rPr>
          <w:sz w:val="22"/>
          <w:szCs w:val="22"/>
          <w:lang w:val="en-GB"/>
        </w:rPr>
        <w:t xml:space="preserve">have been </w:t>
      </w:r>
      <w:r w:rsidR="00780310" w:rsidRPr="005F6D4B">
        <w:rPr>
          <w:sz w:val="22"/>
          <w:szCs w:val="22"/>
          <w:lang w:val="en-GB"/>
        </w:rPr>
        <w:t xml:space="preserve">heterogeneous. </w:t>
      </w:r>
      <w:r w:rsidRPr="005F6D4B">
        <w:rPr>
          <w:sz w:val="22"/>
          <w:szCs w:val="22"/>
          <w:lang w:val="en-GB"/>
        </w:rPr>
        <w:t>First effort</w:t>
      </w:r>
      <w:r w:rsidR="002F2D6E" w:rsidRPr="005F6D4B">
        <w:rPr>
          <w:sz w:val="22"/>
          <w:szCs w:val="22"/>
          <w:lang w:val="en-GB"/>
        </w:rPr>
        <w:t>s</w:t>
      </w:r>
      <w:r w:rsidRPr="005F6D4B">
        <w:rPr>
          <w:sz w:val="22"/>
          <w:szCs w:val="22"/>
          <w:lang w:val="en-GB"/>
        </w:rPr>
        <w:t xml:space="preserve"> w</w:t>
      </w:r>
      <w:r w:rsidR="002F2D6E" w:rsidRPr="005F6D4B">
        <w:rPr>
          <w:sz w:val="22"/>
          <w:szCs w:val="22"/>
          <w:lang w:val="en-GB"/>
        </w:rPr>
        <w:t>ere focused on</w:t>
      </w:r>
      <w:r w:rsidRPr="005F6D4B">
        <w:rPr>
          <w:sz w:val="22"/>
          <w:szCs w:val="22"/>
          <w:lang w:val="en-GB"/>
        </w:rPr>
        <w:t xml:space="preserve"> set</w:t>
      </w:r>
      <w:r w:rsidR="002F2D6E" w:rsidRPr="005F6D4B">
        <w:rPr>
          <w:sz w:val="22"/>
          <w:szCs w:val="22"/>
          <w:lang w:val="en-GB"/>
        </w:rPr>
        <w:t>ting-</w:t>
      </w:r>
      <w:r w:rsidRPr="005F6D4B">
        <w:rPr>
          <w:sz w:val="22"/>
          <w:szCs w:val="22"/>
          <w:lang w:val="en-GB"/>
        </w:rPr>
        <w:t>up and manag</w:t>
      </w:r>
      <w:r w:rsidR="002F2D6E" w:rsidRPr="005F6D4B">
        <w:rPr>
          <w:sz w:val="22"/>
          <w:szCs w:val="22"/>
          <w:lang w:val="en-GB"/>
        </w:rPr>
        <w:t>ing</w:t>
      </w:r>
      <w:r w:rsidRPr="005F6D4B">
        <w:rPr>
          <w:sz w:val="22"/>
          <w:szCs w:val="22"/>
          <w:lang w:val="en-GB"/>
        </w:rPr>
        <w:t xml:space="preserve"> vulnerable marine and coastal PAs wi</w:t>
      </w:r>
      <w:r w:rsidRPr="00EE76D6">
        <w:rPr>
          <w:sz w:val="22"/>
          <w:szCs w:val="22"/>
          <w:lang w:val="en-GB"/>
        </w:rPr>
        <w:t xml:space="preserve">th the first </w:t>
      </w:r>
      <w:r w:rsidR="002B6B1B" w:rsidRPr="00EE76D6">
        <w:rPr>
          <w:sz w:val="22"/>
          <w:szCs w:val="22"/>
          <w:lang w:val="en-GB"/>
        </w:rPr>
        <w:t>n</w:t>
      </w:r>
      <w:r w:rsidRPr="00EE76D6">
        <w:rPr>
          <w:sz w:val="22"/>
          <w:szCs w:val="22"/>
          <w:lang w:val="en-GB"/>
        </w:rPr>
        <w:t xml:space="preserve">ational park </w:t>
      </w:r>
      <w:r w:rsidR="002F2D6E" w:rsidRPr="00EE76D6">
        <w:rPr>
          <w:sz w:val="22"/>
          <w:szCs w:val="22"/>
          <w:lang w:val="en-GB"/>
        </w:rPr>
        <w:t xml:space="preserve">established </w:t>
      </w:r>
      <w:r w:rsidRPr="00EE76D6">
        <w:rPr>
          <w:sz w:val="22"/>
          <w:szCs w:val="22"/>
          <w:lang w:val="en-GB"/>
        </w:rPr>
        <w:t>in 1997</w:t>
      </w:r>
      <w:r w:rsidR="002F2D6E" w:rsidRPr="00EE76D6">
        <w:rPr>
          <w:sz w:val="22"/>
          <w:szCs w:val="22"/>
          <w:lang w:val="en-GB"/>
        </w:rPr>
        <w:t>. N</w:t>
      </w:r>
      <w:r w:rsidRPr="00EE76D6">
        <w:rPr>
          <w:sz w:val="22"/>
          <w:szCs w:val="22"/>
          <w:lang w:val="en-GB"/>
        </w:rPr>
        <w:t xml:space="preserve">ow </w:t>
      </w:r>
      <w:r w:rsidR="002F2D6E" w:rsidRPr="00EE76D6">
        <w:rPr>
          <w:sz w:val="22"/>
          <w:szCs w:val="22"/>
          <w:lang w:val="en-GB"/>
        </w:rPr>
        <w:t>5 national parks and 1 marine area provide protection to</w:t>
      </w:r>
      <w:r w:rsidRPr="00EE76D6">
        <w:rPr>
          <w:sz w:val="22"/>
          <w:szCs w:val="22"/>
          <w:lang w:val="en-GB"/>
        </w:rPr>
        <w:t xml:space="preserve"> 431,205 h</w:t>
      </w:r>
      <w:r w:rsidR="002B6B1B" w:rsidRPr="00EE76D6">
        <w:rPr>
          <w:sz w:val="22"/>
          <w:szCs w:val="22"/>
          <w:lang w:val="en-GB"/>
        </w:rPr>
        <w:t>a of valuable ecosystems and their species</w:t>
      </w:r>
      <w:r w:rsidR="002F2D6E" w:rsidRPr="00EE76D6">
        <w:rPr>
          <w:sz w:val="22"/>
          <w:szCs w:val="22"/>
          <w:lang w:val="en-GB"/>
        </w:rPr>
        <w:t>. In addition the Institute of Biodiversity and Protected Areas (IBAP) was cr</w:t>
      </w:r>
      <w:r w:rsidR="002B6B1B" w:rsidRPr="00EE76D6">
        <w:rPr>
          <w:sz w:val="22"/>
          <w:szCs w:val="22"/>
          <w:lang w:val="en-GB"/>
        </w:rPr>
        <w:t xml:space="preserve">eated in 2004 with the explicit </w:t>
      </w:r>
      <w:r w:rsidR="002F2D6E" w:rsidRPr="00EE76D6">
        <w:rPr>
          <w:sz w:val="22"/>
          <w:szCs w:val="22"/>
          <w:lang w:val="en-GB"/>
        </w:rPr>
        <w:t xml:space="preserve">authority and responsibility to protect and manage Guinea-Bissau’s biodiversity endowment through the National System of Protected Areas (SNAP). </w:t>
      </w:r>
      <w:r w:rsidR="002B6B1B" w:rsidRPr="00EE76D6">
        <w:rPr>
          <w:sz w:val="22"/>
          <w:szCs w:val="22"/>
          <w:lang w:val="en-GB"/>
        </w:rPr>
        <w:t>With the</w:t>
      </w:r>
      <w:r w:rsidRPr="00EE76D6">
        <w:rPr>
          <w:sz w:val="22"/>
          <w:szCs w:val="22"/>
          <w:lang w:val="en-GB"/>
        </w:rPr>
        <w:t xml:space="preserve"> critical marine and coastal areas under </w:t>
      </w:r>
      <w:r w:rsidR="00A40E68" w:rsidRPr="00EE76D6">
        <w:rPr>
          <w:sz w:val="22"/>
          <w:szCs w:val="22"/>
          <w:lang w:val="en-GB"/>
        </w:rPr>
        <w:t xml:space="preserve">increasing </w:t>
      </w:r>
      <w:r w:rsidRPr="00EE76D6">
        <w:rPr>
          <w:sz w:val="22"/>
          <w:szCs w:val="22"/>
          <w:lang w:val="en-GB"/>
        </w:rPr>
        <w:t xml:space="preserve">protection and institutional capacity within </w:t>
      </w:r>
      <w:r w:rsidR="00780310" w:rsidRPr="00EE76D6">
        <w:rPr>
          <w:sz w:val="22"/>
          <w:szCs w:val="22"/>
          <w:lang w:val="en-GB"/>
        </w:rPr>
        <w:t xml:space="preserve">IBAP </w:t>
      </w:r>
      <w:r w:rsidR="00A40E68" w:rsidRPr="00EE76D6">
        <w:rPr>
          <w:sz w:val="22"/>
          <w:szCs w:val="22"/>
          <w:lang w:val="en-GB"/>
        </w:rPr>
        <w:t xml:space="preserve">on the rise, </w:t>
      </w:r>
      <w:r w:rsidR="00780310" w:rsidRPr="00EE76D6">
        <w:rPr>
          <w:sz w:val="22"/>
          <w:szCs w:val="22"/>
          <w:lang w:val="en-GB"/>
        </w:rPr>
        <w:t>attention</w:t>
      </w:r>
      <w:r w:rsidRPr="00EE76D6">
        <w:rPr>
          <w:sz w:val="22"/>
          <w:szCs w:val="22"/>
          <w:lang w:val="en-GB"/>
        </w:rPr>
        <w:t xml:space="preserve"> then moved to the Forest Belt with the creation of the Cantanhez NP </w:t>
      </w:r>
      <w:r w:rsidR="00C634E7" w:rsidRPr="00EE76D6">
        <w:rPr>
          <w:sz w:val="22"/>
          <w:szCs w:val="22"/>
          <w:lang w:val="en-GB"/>
        </w:rPr>
        <w:t xml:space="preserve">in 2008 </w:t>
      </w:r>
      <w:r w:rsidR="00F929C9" w:rsidRPr="00EE76D6">
        <w:rPr>
          <w:sz w:val="22"/>
          <w:szCs w:val="22"/>
          <w:lang w:val="en-GB"/>
        </w:rPr>
        <w:t xml:space="preserve">in </w:t>
      </w:r>
      <w:r w:rsidR="00C634E7" w:rsidRPr="00EE76D6">
        <w:rPr>
          <w:sz w:val="22"/>
          <w:szCs w:val="22"/>
          <w:lang w:val="en-GB"/>
        </w:rPr>
        <w:t>the south-east of the country, close to the international border with the Republic of Guinea (</w:t>
      </w:r>
      <w:r w:rsidR="00F929C9" w:rsidRPr="00EE76D6">
        <w:rPr>
          <w:sz w:val="22"/>
          <w:szCs w:val="22"/>
          <w:lang w:val="en-GB"/>
        </w:rPr>
        <w:t>Conakry</w:t>
      </w:r>
      <w:r w:rsidR="00C634E7" w:rsidRPr="00EE76D6">
        <w:rPr>
          <w:sz w:val="22"/>
          <w:szCs w:val="22"/>
          <w:lang w:val="en-GB"/>
        </w:rPr>
        <w:t>).</w:t>
      </w:r>
      <w:r w:rsidR="00A40E68" w:rsidRPr="00EE76D6">
        <w:rPr>
          <w:sz w:val="22"/>
          <w:szCs w:val="22"/>
          <w:lang w:val="en-GB"/>
        </w:rPr>
        <w:t xml:space="preserve"> </w:t>
      </w:r>
      <w:r w:rsidR="00C634E7" w:rsidRPr="00EE76D6">
        <w:rPr>
          <w:sz w:val="22"/>
          <w:szCs w:val="22"/>
          <w:lang w:val="en-GB"/>
        </w:rPr>
        <w:t>This NP covers an area of 106,</w:t>
      </w:r>
      <w:r w:rsidR="00A40E68" w:rsidRPr="00EE76D6">
        <w:rPr>
          <w:sz w:val="22"/>
          <w:szCs w:val="22"/>
          <w:lang w:val="en-GB"/>
        </w:rPr>
        <w:t>000</w:t>
      </w:r>
      <w:r w:rsidR="00C634E7" w:rsidRPr="00EE76D6">
        <w:rPr>
          <w:sz w:val="22"/>
          <w:szCs w:val="22"/>
          <w:lang w:val="en-GB"/>
        </w:rPr>
        <w:t xml:space="preserve"> ha </w:t>
      </w:r>
      <w:r w:rsidR="002F2D6E" w:rsidRPr="00EE76D6">
        <w:rPr>
          <w:sz w:val="22"/>
          <w:szCs w:val="22"/>
          <w:lang w:val="en-GB"/>
        </w:rPr>
        <w:t xml:space="preserve">and </w:t>
      </w:r>
      <w:r w:rsidR="00A40E68" w:rsidRPr="00EE76D6">
        <w:rPr>
          <w:sz w:val="22"/>
          <w:szCs w:val="22"/>
          <w:lang w:val="en-GB"/>
        </w:rPr>
        <w:t xml:space="preserve">comprises </w:t>
      </w:r>
      <w:r w:rsidR="002F2D6E" w:rsidRPr="00EE76D6">
        <w:rPr>
          <w:sz w:val="22"/>
          <w:szCs w:val="22"/>
          <w:lang w:val="en-GB"/>
        </w:rPr>
        <w:t xml:space="preserve">both </w:t>
      </w:r>
      <w:r w:rsidR="00780310" w:rsidRPr="00EE76D6">
        <w:rPr>
          <w:sz w:val="22"/>
          <w:szCs w:val="22"/>
          <w:lang w:val="en-GB"/>
        </w:rPr>
        <w:t>coastal and forest areas. The process to establish the first purely terrestrial PAs in Guinea-Bissau has only recently been init</w:t>
      </w:r>
      <w:r w:rsidR="000C30E3" w:rsidRPr="00EE76D6">
        <w:rPr>
          <w:sz w:val="22"/>
          <w:szCs w:val="22"/>
          <w:lang w:val="en-GB"/>
        </w:rPr>
        <w:t>iated through the on-going UNDP-</w:t>
      </w:r>
      <w:r w:rsidR="00780310" w:rsidRPr="00EE76D6">
        <w:rPr>
          <w:sz w:val="22"/>
          <w:szCs w:val="22"/>
          <w:lang w:val="en-GB"/>
        </w:rPr>
        <w:t>GEF project supporting the consolidation of PAs in the Forest Belt (GEF ID 3575). This project is contributing to correct the skew in the representativeness and connectivity of the national PA system by supporting the establishment of two PAs (Boé NP and Dulombi NP) and three</w:t>
      </w:r>
      <w:r w:rsidR="00A40E68" w:rsidRPr="00EE76D6">
        <w:rPr>
          <w:sz w:val="22"/>
          <w:szCs w:val="22"/>
          <w:lang w:val="en-GB"/>
        </w:rPr>
        <w:t xml:space="preserve"> biological corridors (Tchetche,</w:t>
      </w:r>
      <w:r w:rsidR="00780310" w:rsidRPr="00EE76D6">
        <w:rPr>
          <w:sz w:val="22"/>
          <w:szCs w:val="22"/>
          <w:lang w:val="en-GB"/>
        </w:rPr>
        <w:t xml:space="preserve"> Cuntabane-Quebo</w:t>
      </w:r>
      <w:r w:rsidR="00A40E68" w:rsidRPr="00EE76D6">
        <w:rPr>
          <w:sz w:val="22"/>
          <w:szCs w:val="22"/>
          <w:lang w:val="en-GB"/>
        </w:rPr>
        <w:t xml:space="preserve"> </w:t>
      </w:r>
      <w:r w:rsidR="00780310" w:rsidRPr="00EE76D6">
        <w:rPr>
          <w:sz w:val="22"/>
          <w:szCs w:val="22"/>
          <w:lang w:val="en-GB"/>
        </w:rPr>
        <w:t>and Salifo)</w:t>
      </w:r>
      <w:r w:rsidR="00F367E2" w:rsidRPr="00EE76D6">
        <w:rPr>
          <w:sz w:val="22"/>
          <w:szCs w:val="22"/>
          <w:lang w:val="en-GB"/>
        </w:rPr>
        <w:t xml:space="preserve"> </w:t>
      </w:r>
      <w:r w:rsidR="00780310" w:rsidRPr="00EE76D6">
        <w:rPr>
          <w:sz w:val="22"/>
          <w:szCs w:val="22"/>
          <w:lang w:val="en-GB"/>
        </w:rPr>
        <w:t xml:space="preserve">in the Forest Belt. </w:t>
      </w:r>
      <w:r w:rsidR="002F2D6E" w:rsidRPr="00EE76D6">
        <w:rPr>
          <w:sz w:val="22"/>
          <w:szCs w:val="22"/>
          <w:lang w:val="en-GB"/>
        </w:rPr>
        <w:t xml:space="preserve">By doing so an additional 8.8% of the </w:t>
      </w:r>
      <w:r w:rsidR="00780310" w:rsidRPr="00EE76D6">
        <w:rPr>
          <w:sz w:val="22"/>
          <w:szCs w:val="22"/>
          <w:lang w:val="en-GB"/>
        </w:rPr>
        <w:t>country will come under protective management</w:t>
      </w:r>
      <w:r w:rsidR="00F929C9" w:rsidRPr="00EE76D6">
        <w:rPr>
          <w:sz w:val="22"/>
          <w:szCs w:val="22"/>
          <w:lang w:val="en-GB"/>
        </w:rPr>
        <w:t xml:space="preserve"> </w:t>
      </w:r>
      <w:r w:rsidR="002F2D6E" w:rsidRPr="00EE76D6">
        <w:rPr>
          <w:sz w:val="22"/>
          <w:szCs w:val="22"/>
          <w:lang w:val="en-GB"/>
        </w:rPr>
        <w:t xml:space="preserve">bringing the total to 23.7% of the national territory </w:t>
      </w:r>
      <w:r w:rsidR="00691D65" w:rsidRPr="00EE76D6">
        <w:rPr>
          <w:sz w:val="22"/>
          <w:szCs w:val="22"/>
          <w:lang w:val="en-GB"/>
        </w:rPr>
        <w:t xml:space="preserve">(855,972 ha), </w:t>
      </w:r>
      <w:r w:rsidRPr="00EE76D6">
        <w:rPr>
          <w:sz w:val="22"/>
          <w:szCs w:val="22"/>
          <w:lang w:val="en-GB"/>
        </w:rPr>
        <w:t>w</w:t>
      </w:r>
      <w:r w:rsidR="000D55DB" w:rsidRPr="00EE76D6">
        <w:rPr>
          <w:sz w:val="22"/>
          <w:szCs w:val="22"/>
          <w:lang w:val="en-GB"/>
        </w:rPr>
        <w:t xml:space="preserve">hich is </w:t>
      </w:r>
      <w:r w:rsidRPr="00EE76D6">
        <w:rPr>
          <w:sz w:val="22"/>
          <w:szCs w:val="22"/>
          <w:lang w:val="en-GB"/>
        </w:rPr>
        <w:t xml:space="preserve">a significant achievement </w:t>
      </w:r>
      <w:r w:rsidR="000D55DB" w:rsidRPr="00EE76D6">
        <w:rPr>
          <w:sz w:val="22"/>
          <w:szCs w:val="22"/>
          <w:lang w:val="en-GB"/>
        </w:rPr>
        <w:t xml:space="preserve">in less than </w:t>
      </w:r>
      <w:r w:rsidR="00691D65" w:rsidRPr="00EE76D6">
        <w:rPr>
          <w:sz w:val="22"/>
          <w:szCs w:val="22"/>
          <w:lang w:val="en-GB"/>
        </w:rPr>
        <w:t>two</w:t>
      </w:r>
      <w:r w:rsidR="000D55DB" w:rsidRPr="00EE76D6">
        <w:rPr>
          <w:sz w:val="22"/>
          <w:szCs w:val="22"/>
          <w:lang w:val="en-GB"/>
        </w:rPr>
        <w:t xml:space="preserve"> decades</w:t>
      </w:r>
      <w:r w:rsidRPr="00EE76D6">
        <w:rPr>
          <w:sz w:val="22"/>
          <w:szCs w:val="22"/>
          <w:lang w:val="en-GB"/>
        </w:rPr>
        <w:t>.</w:t>
      </w:r>
    </w:p>
    <w:p w:rsidR="00AA447D" w:rsidRPr="00A030F3" w:rsidRDefault="00AA447D" w:rsidP="00AA447D">
      <w:pPr>
        <w:pStyle w:val="Footer"/>
        <w:tabs>
          <w:tab w:val="clear" w:pos="4320"/>
          <w:tab w:val="clear" w:pos="8640"/>
        </w:tabs>
        <w:ind w:left="0"/>
        <w:contextualSpacing/>
        <w:jc w:val="both"/>
        <w:rPr>
          <w:sz w:val="22"/>
          <w:szCs w:val="22"/>
          <w:lang w:val="en-GB"/>
        </w:rPr>
      </w:pPr>
    </w:p>
    <w:p w:rsidR="00AA447D" w:rsidRPr="00EE76D6" w:rsidRDefault="005C4117" w:rsidP="000E7308">
      <w:pPr>
        <w:pStyle w:val="Footer"/>
        <w:numPr>
          <w:ilvl w:val="0"/>
          <w:numId w:val="24"/>
        </w:numPr>
        <w:tabs>
          <w:tab w:val="clear" w:pos="4320"/>
          <w:tab w:val="clear" w:pos="8640"/>
        </w:tabs>
        <w:ind w:left="0" w:firstLine="0"/>
        <w:contextualSpacing/>
        <w:jc w:val="both"/>
        <w:rPr>
          <w:sz w:val="22"/>
          <w:szCs w:val="22"/>
          <w:lang w:val="en-GB"/>
        </w:rPr>
      </w:pPr>
      <w:r w:rsidRPr="00EE76D6">
        <w:rPr>
          <w:sz w:val="22"/>
          <w:szCs w:val="22"/>
          <w:lang w:val="en-GB"/>
        </w:rPr>
        <w:t>Despite these</w:t>
      </w:r>
      <w:r w:rsidR="00F367E2" w:rsidRPr="00EE76D6">
        <w:rPr>
          <w:sz w:val="22"/>
          <w:szCs w:val="22"/>
          <w:lang w:val="en-GB"/>
        </w:rPr>
        <w:t xml:space="preserve"> </w:t>
      </w:r>
      <w:r w:rsidRPr="00EE76D6">
        <w:rPr>
          <w:sz w:val="22"/>
          <w:szCs w:val="22"/>
          <w:lang w:val="en-GB"/>
        </w:rPr>
        <w:t>efforts</w:t>
      </w:r>
      <w:r w:rsidR="00780310" w:rsidRPr="00EE76D6">
        <w:rPr>
          <w:sz w:val="22"/>
          <w:szCs w:val="22"/>
          <w:lang w:val="en-GB"/>
        </w:rPr>
        <w:t xml:space="preserve"> th</w:t>
      </w:r>
      <w:r w:rsidR="00691D65" w:rsidRPr="00EE76D6">
        <w:rPr>
          <w:sz w:val="22"/>
          <w:szCs w:val="22"/>
          <w:lang w:val="en-GB"/>
        </w:rPr>
        <w:t xml:space="preserve">ere </w:t>
      </w:r>
      <w:r w:rsidR="00780310" w:rsidRPr="00EE76D6">
        <w:rPr>
          <w:sz w:val="22"/>
          <w:szCs w:val="22"/>
          <w:lang w:val="en-GB"/>
        </w:rPr>
        <w:t xml:space="preserve">is </w:t>
      </w:r>
      <w:r w:rsidR="00691D65" w:rsidRPr="00EE76D6">
        <w:rPr>
          <w:sz w:val="22"/>
          <w:szCs w:val="22"/>
          <w:lang w:val="en-GB"/>
        </w:rPr>
        <w:t xml:space="preserve">an urgent </w:t>
      </w:r>
      <w:r w:rsidR="00780310" w:rsidRPr="00EE76D6">
        <w:rPr>
          <w:sz w:val="22"/>
          <w:szCs w:val="22"/>
          <w:lang w:val="en-GB"/>
        </w:rPr>
        <w:t xml:space="preserve">need </w:t>
      </w:r>
      <w:r w:rsidR="00691D65" w:rsidRPr="00EE76D6">
        <w:rPr>
          <w:sz w:val="22"/>
          <w:szCs w:val="22"/>
          <w:lang w:val="en-GB"/>
        </w:rPr>
        <w:t>for</w:t>
      </w:r>
      <w:r w:rsidR="000D55DB" w:rsidRPr="00EE76D6">
        <w:rPr>
          <w:sz w:val="22"/>
          <w:szCs w:val="22"/>
          <w:lang w:val="en-GB"/>
        </w:rPr>
        <w:t xml:space="preserve"> </w:t>
      </w:r>
      <w:r w:rsidR="00691D65" w:rsidRPr="00EE76D6">
        <w:rPr>
          <w:sz w:val="22"/>
          <w:szCs w:val="22"/>
          <w:lang w:val="en-GB"/>
        </w:rPr>
        <w:t xml:space="preserve">the </w:t>
      </w:r>
      <w:r w:rsidR="000D55DB" w:rsidRPr="00EE76D6">
        <w:rPr>
          <w:sz w:val="22"/>
          <w:szCs w:val="22"/>
          <w:lang w:val="en-GB"/>
        </w:rPr>
        <w:t xml:space="preserve">consolidation of </w:t>
      </w:r>
      <w:r w:rsidR="00780310" w:rsidRPr="00EE76D6">
        <w:rPr>
          <w:sz w:val="22"/>
          <w:szCs w:val="22"/>
          <w:lang w:val="en-GB"/>
        </w:rPr>
        <w:t>operation</w:t>
      </w:r>
      <w:r w:rsidR="000D55DB" w:rsidRPr="00EE76D6">
        <w:rPr>
          <w:sz w:val="22"/>
          <w:szCs w:val="22"/>
          <w:lang w:val="en-GB"/>
        </w:rPr>
        <w:t>s</w:t>
      </w:r>
      <w:r w:rsidR="00780310" w:rsidRPr="00EE76D6">
        <w:rPr>
          <w:sz w:val="22"/>
          <w:szCs w:val="22"/>
          <w:lang w:val="en-GB"/>
        </w:rPr>
        <w:t xml:space="preserve"> </w:t>
      </w:r>
      <w:r w:rsidR="00691D65" w:rsidRPr="00EE76D6">
        <w:rPr>
          <w:sz w:val="22"/>
          <w:szCs w:val="22"/>
          <w:lang w:val="en-GB"/>
        </w:rPr>
        <w:t>in</w:t>
      </w:r>
      <w:r w:rsidR="00780310" w:rsidRPr="00EE76D6">
        <w:rPr>
          <w:sz w:val="22"/>
          <w:szCs w:val="22"/>
          <w:lang w:val="en-GB"/>
        </w:rPr>
        <w:t xml:space="preserve"> the remaining terrestrial PAs, and associated buffer zones and ecological corridors which have so far been identified but left </w:t>
      </w:r>
      <w:r w:rsidR="000F7890" w:rsidRPr="00EE76D6">
        <w:rPr>
          <w:sz w:val="22"/>
          <w:szCs w:val="22"/>
          <w:lang w:val="en-GB"/>
        </w:rPr>
        <w:t xml:space="preserve">largely </w:t>
      </w:r>
      <w:r w:rsidR="00780310" w:rsidRPr="00EE76D6">
        <w:rPr>
          <w:sz w:val="22"/>
          <w:szCs w:val="22"/>
          <w:lang w:val="en-GB"/>
        </w:rPr>
        <w:t>unprotected and susceptible to a variety of threats</w:t>
      </w:r>
      <w:r w:rsidR="000D55DB" w:rsidRPr="00EE76D6">
        <w:rPr>
          <w:sz w:val="22"/>
          <w:szCs w:val="22"/>
          <w:lang w:val="en-GB"/>
        </w:rPr>
        <w:t xml:space="preserve">. This includes </w:t>
      </w:r>
      <w:r w:rsidR="00DB4BE7" w:rsidRPr="00EE76D6">
        <w:rPr>
          <w:sz w:val="22"/>
          <w:szCs w:val="22"/>
          <w:lang w:val="en-GB"/>
        </w:rPr>
        <w:t xml:space="preserve">most notably </w:t>
      </w:r>
      <w:r w:rsidR="00780310" w:rsidRPr="00EE76D6">
        <w:rPr>
          <w:sz w:val="22"/>
          <w:szCs w:val="22"/>
          <w:lang w:val="en-GB"/>
        </w:rPr>
        <w:t xml:space="preserve">Cantanhez NP, </w:t>
      </w:r>
      <w:r w:rsidR="00AC52E7" w:rsidRPr="00EE76D6">
        <w:rPr>
          <w:sz w:val="22"/>
          <w:szCs w:val="22"/>
          <w:lang w:val="en-GB"/>
        </w:rPr>
        <w:t xml:space="preserve">which contains </w:t>
      </w:r>
      <w:r w:rsidR="007F3F99" w:rsidRPr="00EE76D6">
        <w:rPr>
          <w:sz w:val="22"/>
          <w:szCs w:val="22"/>
          <w:lang w:val="en-GB"/>
        </w:rPr>
        <w:t xml:space="preserve">the last vestiges of the great continuum of semi-humid forests which used to stretch across Guinea-Conakry, Sierra Leone and Liberia. </w:t>
      </w:r>
      <w:r w:rsidR="00C634E7" w:rsidRPr="00EE76D6">
        <w:rPr>
          <w:sz w:val="22"/>
          <w:szCs w:val="22"/>
          <w:lang w:val="en-GB"/>
        </w:rPr>
        <w:t>Furthermore</w:t>
      </w:r>
      <w:r w:rsidR="00AC52E7" w:rsidRPr="00EE76D6">
        <w:rPr>
          <w:sz w:val="22"/>
          <w:szCs w:val="22"/>
          <w:lang w:val="en-GB"/>
        </w:rPr>
        <w:t>,</w:t>
      </w:r>
      <w:r w:rsidR="00C634E7" w:rsidRPr="00EE76D6">
        <w:rPr>
          <w:sz w:val="22"/>
          <w:szCs w:val="22"/>
          <w:lang w:val="en-GB"/>
        </w:rPr>
        <w:t xml:space="preserve"> despite the advances</w:t>
      </w:r>
      <w:r w:rsidR="00AC52E7" w:rsidRPr="00EE76D6">
        <w:rPr>
          <w:sz w:val="22"/>
          <w:szCs w:val="22"/>
          <w:lang w:val="en-GB"/>
        </w:rPr>
        <w:t xml:space="preserve"> – </w:t>
      </w:r>
      <w:r w:rsidR="00691D65" w:rsidRPr="00EE76D6">
        <w:rPr>
          <w:sz w:val="22"/>
          <w:szCs w:val="22"/>
          <w:lang w:val="en-GB"/>
        </w:rPr>
        <w:t>particularly</w:t>
      </w:r>
      <w:r w:rsidR="00AC52E7" w:rsidRPr="00EE76D6">
        <w:rPr>
          <w:sz w:val="22"/>
          <w:szCs w:val="22"/>
          <w:lang w:val="en-GB"/>
        </w:rPr>
        <w:t xml:space="preserve"> </w:t>
      </w:r>
      <w:r w:rsidR="00C634E7" w:rsidRPr="00EE76D6">
        <w:rPr>
          <w:sz w:val="22"/>
          <w:szCs w:val="22"/>
          <w:lang w:val="en-GB"/>
        </w:rPr>
        <w:t xml:space="preserve">in the marine and coastal </w:t>
      </w:r>
      <w:r w:rsidR="00691D65" w:rsidRPr="00EE76D6">
        <w:rPr>
          <w:sz w:val="22"/>
          <w:szCs w:val="22"/>
          <w:lang w:val="en-GB"/>
        </w:rPr>
        <w:t>regions</w:t>
      </w:r>
      <w:r w:rsidR="00AC52E7" w:rsidRPr="00EE76D6">
        <w:rPr>
          <w:sz w:val="22"/>
          <w:szCs w:val="22"/>
          <w:lang w:val="en-GB"/>
        </w:rPr>
        <w:t xml:space="preserve"> – </w:t>
      </w:r>
      <w:r w:rsidR="00312BE2" w:rsidRPr="00EE76D6">
        <w:rPr>
          <w:sz w:val="22"/>
          <w:szCs w:val="22"/>
          <w:lang w:val="en-GB"/>
        </w:rPr>
        <w:t>significant</w:t>
      </w:r>
      <w:r w:rsidR="00AC52E7" w:rsidRPr="00EE76D6">
        <w:rPr>
          <w:sz w:val="22"/>
          <w:szCs w:val="22"/>
          <w:lang w:val="en-GB"/>
        </w:rPr>
        <w:t xml:space="preserve"> </w:t>
      </w:r>
      <w:r w:rsidR="007F3F99" w:rsidRPr="00EE76D6">
        <w:rPr>
          <w:sz w:val="22"/>
          <w:szCs w:val="22"/>
          <w:lang w:val="en-GB"/>
        </w:rPr>
        <w:t xml:space="preserve">gaps </w:t>
      </w:r>
      <w:r w:rsidR="00312BE2" w:rsidRPr="00EE76D6">
        <w:rPr>
          <w:sz w:val="22"/>
          <w:szCs w:val="22"/>
          <w:lang w:val="en-GB"/>
        </w:rPr>
        <w:t xml:space="preserve">still </w:t>
      </w:r>
      <w:r w:rsidR="007F3F99" w:rsidRPr="00EE76D6">
        <w:rPr>
          <w:sz w:val="22"/>
          <w:szCs w:val="22"/>
          <w:lang w:val="en-GB"/>
        </w:rPr>
        <w:t>remain</w:t>
      </w:r>
      <w:r w:rsidR="00691D65" w:rsidRPr="00EE76D6">
        <w:rPr>
          <w:sz w:val="22"/>
          <w:szCs w:val="22"/>
          <w:lang w:val="en-GB"/>
        </w:rPr>
        <w:t xml:space="preserve"> in the institutional framework underlying the development and future management of the national PA system. </w:t>
      </w:r>
      <w:r w:rsidR="007F3F99" w:rsidRPr="00EE76D6">
        <w:rPr>
          <w:sz w:val="22"/>
          <w:szCs w:val="22"/>
          <w:lang w:val="en-GB"/>
        </w:rPr>
        <w:t>T</w:t>
      </w:r>
      <w:r w:rsidR="00C634E7" w:rsidRPr="00EE76D6">
        <w:rPr>
          <w:sz w:val="22"/>
          <w:szCs w:val="22"/>
          <w:lang w:val="en-GB"/>
        </w:rPr>
        <w:t xml:space="preserve">he country is </w:t>
      </w:r>
      <w:r w:rsidR="00691D65" w:rsidRPr="00EE76D6">
        <w:rPr>
          <w:sz w:val="22"/>
          <w:szCs w:val="22"/>
          <w:lang w:val="en-GB"/>
        </w:rPr>
        <w:t xml:space="preserve">now </w:t>
      </w:r>
      <w:r w:rsidR="00C634E7" w:rsidRPr="00EE76D6">
        <w:rPr>
          <w:sz w:val="22"/>
          <w:szCs w:val="22"/>
          <w:lang w:val="en-GB"/>
        </w:rPr>
        <w:t xml:space="preserve">seeking to further strengthen the PA system </w:t>
      </w:r>
      <w:r w:rsidR="00A273E9" w:rsidRPr="00EE76D6">
        <w:rPr>
          <w:sz w:val="22"/>
          <w:szCs w:val="22"/>
          <w:lang w:val="en-GB"/>
        </w:rPr>
        <w:t>and its financial sustainability</w:t>
      </w:r>
      <w:r w:rsidR="003846F8" w:rsidRPr="00EE76D6">
        <w:rPr>
          <w:sz w:val="22"/>
          <w:szCs w:val="22"/>
          <w:lang w:val="en-GB"/>
        </w:rPr>
        <w:t>,</w:t>
      </w:r>
      <w:r w:rsidR="00A273E9" w:rsidRPr="00EE76D6">
        <w:rPr>
          <w:sz w:val="22"/>
          <w:szCs w:val="22"/>
          <w:lang w:val="en-GB"/>
        </w:rPr>
        <w:t xml:space="preserve"> </w:t>
      </w:r>
      <w:r w:rsidR="00C634E7" w:rsidRPr="00EE76D6">
        <w:rPr>
          <w:sz w:val="22"/>
          <w:szCs w:val="22"/>
          <w:lang w:val="en-GB"/>
        </w:rPr>
        <w:t xml:space="preserve">to </w:t>
      </w:r>
      <w:r w:rsidR="00A273E9" w:rsidRPr="00EE76D6">
        <w:rPr>
          <w:sz w:val="22"/>
          <w:szCs w:val="22"/>
          <w:lang w:val="en-GB"/>
        </w:rPr>
        <w:t xml:space="preserve">safeguard </w:t>
      </w:r>
      <w:r w:rsidR="003846F8" w:rsidRPr="00EE76D6">
        <w:rPr>
          <w:sz w:val="22"/>
          <w:szCs w:val="22"/>
          <w:lang w:val="en-GB"/>
        </w:rPr>
        <w:t xml:space="preserve">its biodiversity conservation achievements </w:t>
      </w:r>
      <w:r w:rsidR="00C634E7" w:rsidRPr="00EE76D6">
        <w:rPr>
          <w:sz w:val="22"/>
          <w:szCs w:val="22"/>
          <w:lang w:val="en-GB"/>
        </w:rPr>
        <w:t>and enable operation</w:t>
      </w:r>
      <w:r w:rsidR="00363A9F" w:rsidRPr="00EE76D6">
        <w:rPr>
          <w:sz w:val="22"/>
          <w:szCs w:val="22"/>
          <w:lang w:val="en-GB"/>
        </w:rPr>
        <w:t>al</w:t>
      </w:r>
      <w:r w:rsidR="00C634E7" w:rsidRPr="00EE76D6">
        <w:rPr>
          <w:sz w:val="22"/>
          <w:szCs w:val="22"/>
          <w:lang w:val="en-GB"/>
        </w:rPr>
        <w:t xml:space="preserve"> efficiencies to reach the </w:t>
      </w:r>
      <w:r w:rsidR="007920BF" w:rsidRPr="00EE76D6">
        <w:rPr>
          <w:sz w:val="22"/>
          <w:szCs w:val="22"/>
          <w:lang w:val="en-GB"/>
        </w:rPr>
        <w:t xml:space="preserve">management </w:t>
      </w:r>
      <w:r w:rsidR="00C634E7" w:rsidRPr="00EE76D6">
        <w:rPr>
          <w:sz w:val="22"/>
          <w:szCs w:val="22"/>
          <w:lang w:val="en-GB"/>
        </w:rPr>
        <w:t xml:space="preserve">levels needed for </w:t>
      </w:r>
      <w:r w:rsidR="007920BF" w:rsidRPr="00EE76D6">
        <w:rPr>
          <w:sz w:val="22"/>
          <w:szCs w:val="22"/>
          <w:lang w:val="en-GB"/>
        </w:rPr>
        <w:t xml:space="preserve">long-term </w:t>
      </w:r>
      <w:r w:rsidR="00C634E7" w:rsidRPr="00EE76D6">
        <w:rPr>
          <w:sz w:val="22"/>
          <w:szCs w:val="22"/>
          <w:lang w:val="en-GB"/>
        </w:rPr>
        <w:t>threat containment</w:t>
      </w:r>
      <w:r w:rsidR="007F3F99" w:rsidRPr="00EE76D6">
        <w:rPr>
          <w:sz w:val="22"/>
          <w:szCs w:val="22"/>
          <w:lang w:val="en-GB"/>
        </w:rPr>
        <w:t xml:space="preserve"> in both the </w:t>
      </w:r>
      <w:r w:rsidR="003846F8" w:rsidRPr="00EE76D6">
        <w:rPr>
          <w:sz w:val="22"/>
          <w:szCs w:val="22"/>
          <w:lang w:val="en-GB"/>
        </w:rPr>
        <w:t xml:space="preserve">coastal/marine and terrestrial </w:t>
      </w:r>
      <w:r w:rsidR="007F3F99" w:rsidRPr="00EE76D6">
        <w:rPr>
          <w:sz w:val="22"/>
          <w:szCs w:val="22"/>
          <w:lang w:val="en-GB"/>
        </w:rPr>
        <w:t>biomes</w:t>
      </w:r>
      <w:r w:rsidR="00C634E7" w:rsidRPr="00EE76D6">
        <w:rPr>
          <w:sz w:val="22"/>
          <w:szCs w:val="22"/>
          <w:lang w:val="en-GB"/>
        </w:rPr>
        <w:t>.</w:t>
      </w:r>
    </w:p>
    <w:p w:rsidR="000F7890" w:rsidRPr="00EE76D6" w:rsidRDefault="000F7890" w:rsidP="00AA447D">
      <w:pPr>
        <w:pStyle w:val="Footer"/>
        <w:tabs>
          <w:tab w:val="clear" w:pos="4320"/>
          <w:tab w:val="clear" w:pos="8640"/>
        </w:tabs>
        <w:ind w:left="0"/>
        <w:contextualSpacing/>
        <w:jc w:val="both"/>
        <w:rPr>
          <w:sz w:val="22"/>
          <w:szCs w:val="22"/>
          <w:lang w:val="en-GB"/>
        </w:rPr>
      </w:pPr>
    </w:p>
    <w:p w:rsidR="002E5F6E" w:rsidRDefault="002C4B0E" w:rsidP="002E5F6E">
      <w:pPr>
        <w:pStyle w:val="Footer"/>
        <w:numPr>
          <w:ilvl w:val="0"/>
          <w:numId w:val="24"/>
        </w:numPr>
        <w:tabs>
          <w:tab w:val="clear" w:pos="4320"/>
          <w:tab w:val="clear" w:pos="8640"/>
        </w:tabs>
        <w:ind w:left="0" w:firstLine="0"/>
        <w:contextualSpacing/>
        <w:jc w:val="both"/>
        <w:rPr>
          <w:sz w:val="22"/>
          <w:szCs w:val="22"/>
          <w:lang w:val="en-GB"/>
        </w:rPr>
      </w:pPr>
      <w:r w:rsidRPr="00EE76D6">
        <w:rPr>
          <w:sz w:val="22"/>
          <w:szCs w:val="22"/>
          <w:u w:val="single"/>
          <w:lang w:val="en-GB"/>
        </w:rPr>
        <w:t xml:space="preserve">Baseline </w:t>
      </w:r>
      <w:r w:rsidR="000C30E3" w:rsidRPr="00EE76D6">
        <w:rPr>
          <w:sz w:val="22"/>
          <w:szCs w:val="22"/>
          <w:u w:val="single"/>
          <w:lang w:val="en-GB"/>
        </w:rPr>
        <w:t>p</w:t>
      </w:r>
      <w:r w:rsidRPr="00EE76D6">
        <w:rPr>
          <w:sz w:val="22"/>
          <w:szCs w:val="22"/>
          <w:u w:val="single"/>
          <w:lang w:val="en-GB"/>
        </w:rPr>
        <w:t xml:space="preserve">rotected </w:t>
      </w:r>
      <w:r w:rsidR="000C30E3" w:rsidRPr="00EE76D6">
        <w:rPr>
          <w:sz w:val="22"/>
          <w:szCs w:val="22"/>
          <w:u w:val="single"/>
          <w:lang w:val="en-GB"/>
        </w:rPr>
        <w:t>a</w:t>
      </w:r>
      <w:r w:rsidRPr="00EE76D6">
        <w:rPr>
          <w:sz w:val="22"/>
          <w:szCs w:val="22"/>
          <w:u w:val="single"/>
          <w:lang w:val="en-GB"/>
        </w:rPr>
        <w:t>rea and forest use management system</w:t>
      </w:r>
      <w:r w:rsidR="000C30E3" w:rsidRPr="00EE76D6">
        <w:rPr>
          <w:sz w:val="22"/>
          <w:szCs w:val="22"/>
          <w:lang w:val="en-GB"/>
        </w:rPr>
        <w:t xml:space="preserve">: </w:t>
      </w:r>
      <w:r w:rsidR="00690A27" w:rsidRPr="00EE76D6">
        <w:rPr>
          <w:sz w:val="22"/>
          <w:szCs w:val="22"/>
          <w:lang w:val="en-GB"/>
        </w:rPr>
        <w:t>In Guinea-Bissau, two key institutional players are responsible for the conservation and management of forest-related biodiversity.</w:t>
      </w:r>
      <w:r w:rsidR="00691D65" w:rsidRPr="00EE76D6">
        <w:rPr>
          <w:sz w:val="22"/>
          <w:szCs w:val="22"/>
          <w:lang w:val="en-GB"/>
        </w:rPr>
        <w:t xml:space="preserve"> </w:t>
      </w:r>
      <w:r w:rsidRPr="00EE76D6">
        <w:rPr>
          <w:sz w:val="22"/>
          <w:szCs w:val="22"/>
          <w:lang w:val="en-GB"/>
        </w:rPr>
        <w:t xml:space="preserve">The Institute of Biodiversity and Protected Areas (IBAP) is attached institutionally to the </w:t>
      </w:r>
      <w:r w:rsidR="005344A6" w:rsidRPr="005344A6">
        <w:rPr>
          <w:sz w:val="22"/>
          <w:szCs w:val="22"/>
          <w:lang w:val="en-GB"/>
        </w:rPr>
        <w:t xml:space="preserve">State Secretariat for Environment and Tourism </w:t>
      </w:r>
      <w:r w:rsidR="00C93176" w:rsidRPr="00EE76D6">
        <w:rPr>
          <w:sz w:val="22"/>
          <w:szCs w:val="22"/>
          <w:lang w:val="en-GB"/>
        </w:rPr>
        <w:t xml:space="preserve">(SEAT) </w:t>
      </w:r>
      <w:r w:rsidRPr="00EE76D6">
        <w:rPr>
          <w:sz w:val="22"/>
          <w:szCs w:val="22"/>
          <w:lang w:val="en-GB"/>
        </w:rPr>
        <w:t xml:space="preserve">and has administrative, financial and patrimonial autonomy. Through support from </w:t>
      </w:r>
      <w:r w:rsidR="00363A9F" w:rsidRPr="00EE76D6">
        <w:rPr>
          <w:sz w:val="22"/>
          <w:szCs w:val="22"/>
          <w:lang w:val="en-GB"/>
        </w:rPr>
        <w:t>the</w:t>
      </w:r>
      <w:r w:rsidR="00F929C9" w:rsidRPr="00EE76D6">
        <w:rPr>
          <w:sz w:val="22"/>
          <w:szCs w:val="22"/>
          <w:lang w:val="en-GB"/>
        </w:rPr>
        <w:t xml:space="preserve"> </w:t>
      </w:r>
      <w:r w:rsidR="000C30E3" w:rsidRPr="00EE76D6">
        <w:rPr>
          <w:sz w:val="22"/>
          <w:szCs w:val="22"/>
          <w:lang w:val="en-GB"/>
        </w:rPr>
        <w:t>WB-</w:t>
      </w:r>
      <w:r w:rsidR="0078534C" w:rsidRPr="00EE76D6">
        <w:rPr>
          <w:sz w:val="22"/>
          <w:szCs w:val="22"/>
          <w:lang w:val="en-GB"/>
        </w:rPr>
        <w:t xml:space="preserve">GEF Coastal and Biodiversity Management Project (CBMP) and the ensuing </w:t>
      </w:r>
      <w:r w:rsidR="000C30E3" w:rsidRPr="00EE76D6">
        <w:rPr>
          <w:sz w:val="22"/>
          <w:szCs w:val="22"/>
          <w:lang w:val="en-GB"/>
        </w:rPr>
        <w:t xml:space="preserve">WB-GEF </w:t>
      </w:r>
      <w:r w:rsidR="006648E1" w:rsidRPr="00EE76D6">
        <w:rPr>
          <w:sz w:val="22"/>
          <w:szCs w:val="22"/>
          <w:lang w:val="en-GB"/>
        </w:rPr>
        <w:t xml:space="preserve">Guinea-Bissau Biodiversity Conservation Trust Fund project </w:t>
      </w:r>
      <w:r w:rsidR="00363A9F" w:rsidRPr="00EE76D6">
        <w:rPr>
          <w:sz w:val="22"/>
          <w:szCs w:val="22"/>
          <w:lang w:val="en-GB"/>
        </w:rPr>
        <w:t xml:space="preserve">which is </w:t>
      </w:r>
      <w:r w:rsidRPr="00EE76D6">
        <w:rPr>
          <w:sz w:val="22"/>
          <w:szCs w:val="22"/>
          <w:lang w:val="en-GB"/>
        </w:rPr>
        <w:t>now closing</w:t>
      </w:r>
      <w:r w:rsidR="006648E1" w:rsidRPr="00EE76D6">
        <w:rPr>
          <w:sz w:val="22"/>
          <w:szCs w:val="22"/>
          <w:lang w:val="en-GB"/>
        </w:rPr>
        <w:t>, IBAP</w:t>
      </w:r>
      <w:r w:rsidRPr="00EE76D6">
        <w:rPr>
          <w:sz w:val="22"/>
          <w:szCs w:val="22"/>
          <w:lang w:val="en-GB"/>
        </w:rPr>
        <w:t xml:space="preserve"> </w:t>
      </w:r>
      <w:r w:rsidR="00A6531E" w:rsidRPr="00EE76D6">
        <w:rPr>
          <w:sz w:val="22"/>
          <w:szCs w:val="22"/>
          <w:lang w:val="en-GB"/>
        </w:rPr>
        <w:t xml:space="preserve">was established and </w:t>
      </w:r>
      <w:r w:rsidR="00A650BD" w:rsidRPr="00EE76D6">
        <w:rPr>
          <w:sz w:val="22"/>
          <w:szCs w:val="22"/>
          <w:lang w:val="en-GB"/>
        </w:rPr>
        <w:t>supported th</w:t>
      </w:r>
      <w:r w:rsidR="00691D65" w:rsidRPr="00EE76D6">
        <w:rPr>
          <w:sz w:val="22"/>
          <w:szCs w:val="22"/>
          <w:lang w:val="en-GB"/>
        </w:rPr>
        <w:t>r</w:t>
      </w:r>
      <w:r w:rsidR="00B21AF6" w:rsidRPr="00EE76D6">
        <w:rPr>
          <w:sz w:val="22"/>
          <w:szCs w:val="22"/>
          <w:lang w:val="en-GB"/>
        </w:rPr>
        <w:t>o</w:t>
      </w:r>
      <w:r w:rsidR="00691D65" w:rsidRPr="00EE76D6">
        <w:rPr>
          <w:sz w:val="22"/>
          <w:szCs w:val="22"/>
          <w:lang w:val="en-GB"/>
        </w:rPr>
        <w:t xml:space="preserve">ugh </w:t>
      </w:r>
      <w:r w:rsidR="00030190" w:rsidRPr="00EE76D6">
        <w:rPr>
          <w:sz w:val="22"/>
          <w:szCs w:val="22"/>
          <w:lang w:val="en-GB"/>
        </w:rPr>
        <w:t xml:space="preserve">legal, physical and capacity building </w:t>
      </w:r>
      <w:r w:rsidR="00A6531E" w:rsidRPr="00EE76D6">
        <w:rPr>
          <w:sz w:val="22"/>
          <w:szCs w:val="22"/>
          <w:lang w:val="en-GB"/>
        </w:rPr>
        <w:t>program</w:t>
      </w:r>
      <w:r w:rsidR="00A650BD" w:rsidRPr="00EE76D6">
        <w:rPr>
          <w:sz w:val="22"/>
          <w:szCs w:val="22"/>
          <w:lang w:val="en-GB"/>
        </w:rPr>
        <w:t>me</w:t>
      </w:r>
      <w:r w:rsidR="00A6531E" w:rsidRPr="00EE76D6">
        <w:rPr>
          <w:sz w:val="22"/>
          <w:szCs w:val="22"/>
          <w:lang w:val="en-GB"/>
        </w:rPr>
        <w:t>s</w:t>
      </w:r>
      <w:r w:rsidR="00030190" w:rsidRPr="00EE76D6">
        <w:rPr>
          <w:sz w:val="22"/>
          <w:szCs w:val="22"/>
          <w:lang w:val="en-GB"/>
        </w:rPr>
        <w:t xml:space="preserve">. The PA Framework Law and other existing legislation was amended to reflect IBAP’s roles and responsibilities, </w:t>
      </w:r>
      <w:r w:rsidR="00A6531E" w:rsidRPr="00EE76D6">
        <w:rPr>
          <w:sz w:val="22"/>
          <w:szCs w:val="22"/>
          <w:lang w:val="en-GB"/>
        </w:rPr>
        <w:t xml:space="preserve">the </w:t>
      </w:r>
      <w:r w:rsidR="00030190" w:rsidRPr="00EE76D6">
        <w:rPr>
          <w:sz w:val="22"/>
          <w:szCs w:val="22"/>
          <w:lang w:val="en-GB"/>
        </w:rPr>
        <w:t xml:space="preserve">identification and establishment of IBAP’s Board and </w:t>
      </w:r>
      <w:r w:rsidR="00A6531E" w:rsidRPr="00EE76D6">
        <w:rPr>
          <w:sz w:val="22"/>
          <w:szCs w:val="22"/>
          <w:lang w:val="en-GB"/>
        </w:rPr>
        <w:t xml:space="preserve">the </w:t>
      </w:r>
      <w:r w:rsidR="00030190" w:rsidRPr="00EE76D6">
        <w:rPr>
          <w:sz w:val="22"/>
          <w:szCs w:val="22"/>
          <w:lang w:val="en-GB"/>
        </w:rPr>
        <w:t xml:space="preserve">design of </w:t>
      </w:r>
      <w:r w:rsidR="00691D65" w:rsidRPr="00EE76D6">
        <w:rPr>
          <w:sz w:val="22"/>
          <w:szCs w:val="22"/>
          <w:lang w:val="en-GB"/>
        </w:rPr>
        <w:t xml:space="preserve">its </w:t>
      </w:r>
      <w:r w:rsidR="00030190" w:rsidRPr="00EE76D6">
        <w:rPr>
          <w:sz w:val="22"/>
          <w:szCs w:val="22"/>
          <w:lang w:val="en-GB"/>
        </w:rPr>
        <w:t xml:space="preserve">institutional and governance structures. </w:t>
      </w:r>
      <w:r w:rsidR="00A6531E" w:rsidRPr="00EE76D6">
        <w:rPr>
          <w:sz w:val="22"/>
          <w:szCs w:val="22"/>
          <w:lang w:val="en-GB"/>
        </w:rPr>
        <w:t>I</w:t>
      </w:r>
      <w:r w:rsidR="00030190" w:rsidRPr="00EE76D6">
        <w:rPr>
          <w:sz w:val="22"/>
          <w:szCs w:val="22"/>
          <w:lang w:val="en-GB"/>
        </w:rPr>
        <w:t>nternal administrative and financial operating procedures</w:t>
      </w:r>
      <w:r w:rsidR="00A6531E" w:rsidRPr="00EE76D6">
        <w:rPr>
          <w:sz w:val="22"/>
          <w:szCs w:val="22"/>
          <w:lang w:val="en-GB"/>
        </w:rPr>
        <w:t xml:space="preserve"> have been established, as well as</w:t>
      </w:r>
      <w:r w:rsidR="00030190" w:rsidRPr="00EE76D6">
        <w:rPr>
          <w:sz w:val="22"/>
          <w:szCs w:val="22"/>
          <w:lang w:val="en-GB"/>
        </w:rPr>
        <w:t xml:space="preserve"> the</w:t>
      </w:r>
      <w:r w:rsidR="00A6531E" w:rsidRPr="00EE76D6">
        <w:rPr>
          <w:sz w:val="22"/>
          <w:szCs w:val="22"/>
          <w:lang w:val="en-GB"/>
        </w:rPr>
        <w:t xml:space="preserve"> recruitment of qualified staff</w:t>
      </w:r>
      <w:r w:rsidR="00030190" w:rsidRPr="00EE76D6">
        <w:rPr>
          <w:sz w:val="22"/>
          <w:szCs w:val="22"/>
          <w:lang w:val="en-GB"/>
        </w:rPr>
        <w:t xml:space="preserve"> and the </w:t>
      </w:r>
      <w:r w:rsidR="00A6531E" w:rsidRPr="00EE76D6">
        <w:rPr>
          <w:sz w:val="22"/>
          <w:szCs w:val="22"/>
          <w:lang w:val="en-GB"/>
        </w:rPr>
        <w:t xml:space="preserve">ongoing </w:t>
      </w:r>
      <w:r w:rsidR="00030190" w:rsidRPr="00EE76D6">
        <w:rPr>
          <w:sz w:val="22"/>
          <w:szCs w:val="22"/>
          <w:lang w:val="en-GB"/>
        </w:rPr>
        <w:t>provision of operating costs.</w:t>
      </w:r>
      <w:r w:rsidR="00A6531E" w:rsidRPr="00EE76D6">
        <w:rPr>
          <w:sz w:val="22"/>
          <w:szCs w:val="22"/>
          <w:lang w:val="en-GB"/>
        </w:rPr>
        <w:t xml:space="preserve"> </w:t>
      </w:r>
      <w:r w:rsidRPr="00EE76D6">
        <w:rPr>
          <w:sz w:val="22"/>
          <w:szCs w:val="22"/>
          <w:lang w:val="en-GB"/>
        </w:rPr>
        <w:t>A</w:t>
      </w:r>
      <w:r w:rsidR="00363A9F" w:rsidRPr="00EE76D6">
        <w:rPr>
          <w:sz w:val="22"/>
          <w:szCs w:val="22"/>
          <w:lang w:val="en-GB"/>
        </w:rPr>
        <w:t>s a result</w:t>
      </w:r>
      <w:r w:rsidRPr="00EE76D6">
        <w:rPr>
          <w:sz w:val="22"/>
          <w:szCs w:val="22"/>
          <w:lang w:val="en-GB"/>
        </w:rPr>
        <w:t xml:space="preserve"> IBAP </w:t>
      </w:r>
      <w:r w:rsidR="00691D65" w:rsidRPr="00EE76D6">
        <w:rPr>
          <w:sz w:val="22"/>
          <w:szCs w:val="22"/>
          <w:lang w:val="en-GB"/>
        </w:rPr>
        <w:t xml:space="preserve">has grown into </w:t>
      </w:r>
      <w:r w:rsidRPr="00EE76D6">
        <w:rPr>
          <w:sz w:val="22"/>
          <w:szCs w:val="22"/>
          <w:lang w:val="en-GB"/>
        </w:rPr>
        <w:t>a fully functioning institution, coordinating the day-to-day management of more than 450,000 h</w:t>
      </w:r>
      <w:r w:rsidR="00A650BD" w:rsidRPr="00EE76D6">
        <w:rPr>
          <w:sz w:val="22"/>
          <w:szCs w:val="22"/>
          <w:lang w:val="en-GB"/>
        </w:rPr>
        <w:t xml:space="preserve">a </w:t>
      </w:r>
      <w:r w:rsidRPr="00EE76D6">
        <w:rPr>
          <w:sz w:val="22"/>
          <w:szCs w:val="22"/>
          <w:lang w:val="en-GB"/>
        </w:rPr>
        <w:t xml:space="preserve">of critical natural habitats </w:t>
      </w:r>
      <w:r w:rsidR="00A650BD" w:rsidRPr="00EE76D6">
        <w:rPr>
          <w:sz w:val="22"/>
          <w:szCs w:val="22"/>
          <w:lang w:val="en-GB"/>
        </w:rPr>
        <w:t xml:space="preserve">– </w:t>
      </w:r>
      <w:r w:rsidRPr="00EE76D6">
        <w:rPr>
          <w:sz w:val="22"/>
          <w:szCs w:val="22"/>
          <w:lang w:val="en-GB"/>
        </w:rPr>
        <w:t>via</w:t>
      </w:r>
      <w:r w:rsidR="00A650BD" w:rsidRPr="00EE76D6">
        <w:rPr>
          <w:sz w:val="22"/>
          <w:szCs w:val="22"/>
          <w:lang w:val="en-GB"/>
        </w:rPr>
        <w:t xml:space="preserve"> </w:t>
      </w:r>
      <w:r w:rsidRPr="00EE76D6">
        <w:rPr>
          <w:sz w:val="22"/>
          <w:szCs w:val="22"/>
          <w:lang w:val="en-GB"/>
        </w:rPr>
        <w:t>a network of protected areas covering some 15% of the country.</w:t>
      </w:r>
    </w:p>
    <w:p w:rsidR="0056481C" w:rsidRDefault="0056481C" w:rsidP="0056481C">
      <w:pPr>
        <w:pStyle w:val="Footer"/>
        <w:tabs>
          <w:tab w:val="clear" w:pos="4320"/>
          <w:tab w:val="clear" w:pos="8640"/>
        </w:tabs>
        <w:ind w:left="0"/>
        <w:contextualSpacing/>
        <w:jc w:val="both"/>
        <w:rPr>
          <w:sz w:val="22"/>
          <w:szCs w:val="22"/>
          <w:lang w:val="en-GB"/>
        </w:rPr>
      </w:pPr>
    </w:p>
    <w:p w:rsidR="009F05D0" w:rsidRPr="006F0F22" w:rsidRDefault="002C4B0E" w:rsidP="009D3DE8">
      <w:pPr>
        <w:pStyle w:val="Footer"/>
        <w:numPr>
          <w:ilvl w:val="0"/>
          <w:numId w:val="24"/>
        </w:numPr>
        <w:tabs>
          <w:tab w:val="clear" w:pos="4320"/>
          <w:tab w:val="clear" w:pos="8640"/>
        </w:tabs>
        <w:ind w:left="0" w:firstLine="0"/>
        <w:contextualSpacing/>
        <w:jc w:val="both"/>
        <w:rPr>
          <w:sz w:val="22"/>
          <w:szCs w:val="22"/>
          <w:lang w:val="en-GB"/>
        </w:rPr>
      </w:pPr>
      <w:r w:rsidRPr="00BC1AEE">
        <w:rPr>
          <w:sz w:val="22"/>
          <w:szCs w:val="22"/>
          <w:lang w:val="en-GB"/>
        </w:rPr>
        <w:t xml:space="preserve">The </w:t>
      </w:r>
      <w:r w:rsidR="00A650BD" w:rsidRPr="00BC1AEE">
        <w:rPr>
          <w:sz w:val="22"/>
          <w:szCs w:val="22"/>
          <w:lang w:val="en-GB"/>
        </w:rPr>
        <w:t>WB-</w:t>
      </w:r>
      <w:r w:rsidR="00A6531E" w:rsidRPr="00BC1AEE">
        <w:rPr>
          <w:sz w:val="22"/>
          <w:szCs w:val="22"/>
          <w:lang w:val="en-GB"/>
        </w:rPr>
        <w:t xml:space="preserve">GEF </w:t>
      </w:r>
      <w:r w:rsidR="003363B6" w:rsidRPr="006F0F22">
        <w:rPr>
          <w:sz w:val="22"/>
          <w:szCs w:val="22"/>
          <w:lang w:val="en-GB"/>
        </w:rPr>
        <w:t xml:space="preserve">Guinea-Bissau Biodiversity Conservation Trust Fund project </w:t>
      </w:r>
      <w:r w:rsidRPr="006F0F22">
        <w:rPr>
          <w:sz w:val="22"/>
          <w:szCs w:val="22"/>
          <w:lang w:val="en-GB"/>
        </w:rPr>
        <w:t xml:space="preserve">also </w:t>
      </w:r>
      <w:r w:rsidR="00A6531E" w:rsidRPr="006F0F22">
        <w:rPr>
          <w:sz w:val="22"/>
          <w:szCs w:val="22"/>
          <w:lang w:val="en-GB"/>
        </w:rPr>
        <w:t xml:space="preserve">supported the design and legal establishment of </w:t>
      </w:r>
      <w:r w:rsidRPr="006F0F22">
        <w:rPr>
          <w:sz w:val="22"/>
          <w:szCs w:val="22"/>
          <w:lang w:val="en-GB"/>
        </w:rPr>
        <w:t>the</w:t>
      </w:r>
      <w:r w:rsidR="00F929C9" w:rsidRPr="006F0F22">
        <w:rPr>
          <w:sz w:val="22"/>
          <w:szCs w:val="22"/>
          <w:lang w:val="en-GB"/>
        </w:rPr>
        <w:t xml:space="preserve"> </w:t>
      </w:r>
      <w:r w:rsidR="00156E11" w:rsidRPr="006F0F22">
        <w:rPr>
          <w:bCs/>
          <w:sz w:val="22"/>
          <w:szCs w:val="22"/>
          <w:lang w:val="en-GB"/>
        </w:rPr>
        <w:t>BioGuinea Foundation (</w:t>
      </w:r>
      <w:r w:rsidR="008A4887" w:rsidRPr="006F0F22">
        <w:rPr>
          <w:bCs/>
          <w:sz w:val="22"/>
          <w:szCs w:val="22"/>
          <w:lang w:val="en-GB"/>
        </w:rPr>
        <w:t>FBG</w:t>
      </w:r>
      <w:r w:rsidR="00156E11" w:rsidRPr="006F0F22">
        <w:rPr>
          <w:bCs/>
          <w:sz w:val="22"/>
          <w:szCs w:val="22"/>
          <w:lang w:val="en-GB"/>
        </w:rPr>
        <w:t>)</w:t>
      </w:r>
      <w:r w:rsidRPr="006F0F22">
        <w:rPr>
          <w:sz w:val="22"/>
          <w:szCs w:val="22"/>
          <w:lang w:val="en-GB"/>
        </w:rPr>
        <w:t xml:space="preserve">. </w:t>
      </w:r>
      <w:r w:rsidR="00A246C7" w:rsidRPr="006F0F22">
        <w:rPr>
          <w:sz w:val="22"/>
          <w:szCs w:val="22"/>
          <w:lang w:val="en-GB"/>
        </w:rPr>
        <w:t>In late 2007 a national ad hoc working group, drawing on representatives from government, private sector, NG</w:t>
      </w:r>
      <w:r w:rsidR="00FF1066" w:rsidRPr="006F0F22">
        <w:rPr>
          <w:sz w:val="22"/>
          <w:szCs w:val="22"/>
          <w:lang w:val="en-GB"/>
        </w:rPr>
        <w:t xml:space="preserve">Os and civil society was set up, which </w:t>
      </w:r>
      <w:r w:rsidR="00A246C7" w:rsidRPr="006F0F22">
        <w:rPr>
          <w:sz w:val="22"/>
          <w:szCs w:val="22"/>
          <w:lang w:val="en-GB"/>
        </w:rPr>
        <w:t>laid the ground work for establish</w:t>
      </w:r>
      <w:r w:rsidR="003363B6" w:rsidRPr="006F0F22">
        <w:rPr>
          <w:sz w:val="22"/>
          <w:szCs w:val="22"/>
          <w:lang w:val="en-GB"/>
        </w:rPr>
        <w:t>ing</w:t>
      </w:r>
      <w:r w:rsidR="00A246C7" w:rsidRPr="006F0F22">
        <w:rPr>
          <w:sz w:val="22"/>
          <w:szCs w:val="22"/>
          <w:lang w:val="en-GB"/>
        </w:rPr>
        <w:t xml:space="preserve"> </w:t>
      </w:r>
      <w:r w:rsidR="008543C3" w:rsidRPr="006F0F22">
        <w:rPr>
          <w:sz w:val="22"/>
          <w:szCs w:val="22"/>
          <w:lang w:val="en-GB"/>
        </w:rPr>
        <w:t xml:space="preserve">this </w:t>
      </w:r>
      <w:r w:rsidR="00A246C7" w:rsidRPr="006F0F22">
        <w:rPr>
          <w:sz w:val="22"/>
          <w:szCs w:val="22"/>
          <w:lang w:val="en-GB"/>
        </w:rPr>
        <w:lastRenderedPageBreak/>
        <w:t xml:space="preserve">independent Conservation Trust Fund which over the long term </w:t>
      </w:r>
      <w:r w:rsidR="00FF1066" w:rsidRPr="006F0F22">
        <w:rPr>
          <w:sz w:val="22"/>
          <w:szCs w:val="22"/>
          <w:lang w:val="en-GB"/>
        </w:rPr>
        <w:t xml:space="preserve">would </w:t>
      </w:r>
      <w:r w:rsidR="00A246C7" w:rsidRPr="006F0F22">
        <w:rPr>
          <w:sz w:val="22"/>
          <w:szCs w:val="22"/>
          <w:lang w:val="en-GB"/>
        </w:rPr>
        <w:t>provide sustainable financing for biodiversity conservation activities in Guinea Bissau.</w:t>
      </w:r>
      <w:r w:rsidR="002F204E" w:rsidRPr="006F0F22">
        <w:rPr>
          <w:sz w:val="22"/>
          <w:szCs w:val="22"/>
          <w:lang w:val="en-GB"/>
        </w:rPr>
        <w:t xml:space="preserve"> </w:t>
      </w:r>
      <w:r w:rsidRPr="006F0F22">
        <w:rPr>
          <w:sz w:val="22"/>
          <w:szCs w:val="22"/>
          <w:lang w:val="en-GB"/>
        </w:rPr>
        <w:t>Th</w:t>
      </w:r>
      <w:r w:rsidR="00691D65" w:rsidRPr="006F0F22">
        <w:rPr>
          <w:sz w:val="22"/>
          <w:szCs w:val="22"/>
          <w:lang w:val="en-GB"/>
        </w:rPr>
        <w:t xml:space="preserve">e FBG </w:t>
      </w:r>
      <w:r w:rsidRPr="006F0F22">
        <w:rPr>
          <w:bCs/>
          <w:sz w:val="22"/>
          <w:szCs w:val="22"/>
          <w:lang w:val="en-GB"/>
        </w:rPr>
        <w:t>was officially registered in 2011 as a ‘private foundation for public utility’ under Un</w:t>
      </w:r>
      <w:r w:rsidR="00854972" w:rsidRPr="006F0F22">
        <w:rPr>
          <w:bCs/>
          <w:sz w:val="22"/>
          <w:szCs w:val="22"/>
          <w:lang w:val="en-GB"/>
        </w:rPr>
        <w:t xml:space="preserve">ited Kingdom law – </w:t>
      </w:r>
      <w:r w:rsidR="00373EBD" w:rsidRPr="006F0F22">
        <w:rPr>
          <w:bCs/>
          <w:sz w:val="22"/>
          <w:szCs w:val="22"/>
          <w:lang w:val="en-GB"/>
        </w:rPr>
        <w:t>t</w:t>
      </w:r>
      <w:r w:rsidR="00C224D8" w:rsidRPr="006F0F22">
        <w:rPr>
          <w:bCs/>
          <w:sz w:val="22"/>
          <w:szCs w:val="22"/>
          <w:lang w:val="en-GB"/>
        </w:rPr>
        <w:t>he</w:t>
      </w:r>
      <w:r w:rsidR="00854972" w:rsidRPr="006F0F22">
        <w:rPr>
          <w:bCs/>
          <w:sz w:val="22"/>
          <w:szCs w:val="22"/>
          <w:lang w:val="en-GB"/>
        </w:rPr>
        <w:t xml:space="preserve"> </w:t>
      </w:r>
      <w:r w:rsidR="00C224D8" w:rsidRPr="006F0F22">
        <w:rPr>
          <w:bCs/>
          <w:sz w:val="22"/>
          <w:szCs w:val="22"/>
          <w:lang w:val="en-GB"/>
        </w:rPr>
        <w:t xml:space="preserve">legal </w:t>
      </w:r>
      <w:r w:rsidR="00373EBD" w:rsidRPr="006F0F22">
        <w:rPr>
          <w:bCs/>
          <w:sz w:val="22"/>
          <w:szCs w:val="22"/>
          <w:lang w:val="en-GB"/>
        </w:rPr>
        <w:t xml:space="preserve">registration of the Foundation as </w:t>
      </w:r>
      <w:r w:rsidR="00C224D8" w:rsidRPr="006F0F22">
        <w:rPr>
          <w:bCs/>
          <w:sz w:val="22"/>
          <w:szCs w:val="22"/>
          <w:lang w:val="en-GB"/>
        </w:rPr>
        <w:t xml:space="preserve">such </w:t>
      </w:r>
      <w:r w:rsidR="00373EBD" w:rsidRPr="006F0F22">
        <w:rPr>
          <w:bCs/>
          <w:sz w:val="22"/>
          <w:szCs w:val="22"/>
          <w:lang w:val="en-GB"/>
        </w:rPr>
        <w:t>a</w:t>
      </w:r>
      <w:r w:rsidR="004C6359" w:rsidRPr="006F0F22">
        <w:rPr>
          <w:bCs/>
          <w:sz w:val="22"/>
          <w:szCs w:val="22"/>
          <w:lang w:val="en-GB"/>
        </w:rPr>
        <w:t>n offshore</w:t>
      </w:r>
      <w:r w:rsidR="00373EBD" w:rsidRPr="006F0F22">
        <w:rPr>
          <w:bCs/>
          <w:sz w:val="22"/>
          <w:szCs w:val="22"/>
          <w:lang w:val="en-GB"/>
        </w:rPr>
        <w:t xml:space="preserve"> private</w:t>
      </w:r>
      <w:r w:rsidR="004C6359" w:rsidRPr="006F0F22">
        <w:rPr>
          <w:bCs/>
          <w:sz w:val="22"/>
          <w:szCs w:val="22"/>
          <w:lang w:val="en-GB"/>
        </w:rPr>
        <w:t xml:space="preserve"> </w:t>
      </w:r>
      <w:r w:rsidR="00373EBD" w:rsidRPr="006F0F22">
        <w:rPr>
          <w:bCs/>
          <w:sz w:val="22"/>
          <w:szCs w:val="22"/>
          <w:lang w:val="en-GB"/>
        </w:rPr>
        <w:t xml:space="preserve">entity </w:t>
      </w:r>
      <w:r w:rsidR="004C6359" w:rsidRPr="006F0F22">
        <w:rPr>
          <w:bCs/>
          <w:sz w:val="22"/>
          <w:szCs w:val="22"/>
          <w:lang w:val="en-GB"/>
        </w:rPr>
        <w:t xml:space="preserve">with public utility status </w:t>
      </w:r>
      <w:r w:rsidR="00C224D8" w:rsidRPr="006F0F22">
        <w:rPr>
          <w:bCs/>
          <w:sz w:val="22"/>
          <w:szCs w:val="22"/>
          <w:lang w:val="en-GB"/>
        </w:rPr>
        <w:t xml:space="preserve">was chosen </w:t>
      </w:r>
      <w:r w:rsidR="004C6359" w:rsidRPr="006F0F22">
        <w:rPr>
          <w:bCs/>
          <w:sz w:val="22"/>
          <w:szCs w:val="22"/>
          <w:lang w:val="en-GB"/>
        </w:rPr>
        <w:t xml:space="preserve">to </w:t>
      </w:r>
      <w:r w:rsidR="00C224D8" w:rsidRPr="006F0F22">
        <w:rPr>
          <w:bCs/>
          <w:sz w:val="22"/>
          <w:szCs w:val="22"/>
          <w:lang w:val="en-GB"/>
        </w:rPr>
        <w:t xml:space="preserve">maximise its accountability and </w:t>
      </w:r>
      <w:r w:rsidR="004C6359" w:rsidRPr="006F0F22">
        <w:rPr>
          <w:bCs/>
          <w:sz w:val="22"/>
          <w:szCs w:val="22"/>
          <w:lang w:val="en-GB"/>
        </w:rPr>
        <w:t xml:space="preserve">mitigate any risks </w:t>
      </w:r>
      <w:r w:rsidR="00AB7125" w:rsidRPr="006F0F22">
        <w:rPr>
          <w:bCs/>
          <w:sz w:val="22"/>
          <w:szCs w:val="22"/>
          <w:lang w:val="en-GB"/>
        </w:rPr>
        <w:t xml:space="preserve">arising from institutional or </w:t>
      </w:r>
      <w:r w:rsidR="00EA09F9" w:rsidRPr="006F0F22">
        <w:rPr>
          <w:bCs/>
          <w:sz w:val="22"/>
          <w:szCs w:val="22"/>
          <w:lang w:val="en-GB"/>
        </w:rPr>
        <w:t xml:space="preserve">political </w:t>
      </w:r>
      <w:r w:rsidR="00AB7125" w:rsidRPr="006F0F22">
        <w:rPr>
          <w:bCs/>
          <w:sz w:val="22"/>
          <w:szCs w:val="22"/>
          <w:lang w:val="en-GB"/>
        </w:rPr>
        <w:t>changes</w:t>
      </w:r>
      <w:r w:rsidRPr="006F0F22">
        <w:rPr>
          <w:bCs/>
          <w:sz w:val="22"/>
          <w:szCs w:val="22"/>
          <w:lang w:val="en-GB"/>
        </w:rPr>
        <w:t>.</w:t>
      </w:r>
      <w:r w:rsidR="00C224D8" w:rsidRPr="006F0F22">
        <w:rPr>
          <w:bCs/>
          <w:sz w:val="22"/>
          <w:szCs w:val="22"/>
          <w:lang w:val="en-GB"/>
        </w:rPr>
        <w:t xml:space="preserve"> </w:t>
      </w:r>
      <w:r w:rsidR="009D3DE8" w:rsidRPr="006F0F22">
        <w:rPr>
          <w:bCs/>
          <w:sz w:val="22"/>
          <w:szCs w:val="22"/>
          <w:lang w:val="en-GB"/>
        </w:rPr>
        <w:t xml:space="preserve">Also the FBG will be overseen by an independent and mixed Board of Directors (in which the Government will be represented but not have a majority). </w:t>
      </w:r>
      <w:r w:rsidRPr="006F0F22">
        <w:rPr>
          <w:bCs/>
          <w:sz w:val="22"/>
          <w:szCs w:val="22"/>
          <w:lang w:val="en-GB"/>
        </w:rPr>
        <w:t xml:space="preserve">In early 2012, charity status was secured for the </w:t>
      </w:r>
      <w:r w:rsidR="008A4887" w:rsidRPr="006F0F22">
        <w:rPr>
          <w:bCs/>
          <w:sz w:val="22"/>
          <w:szCs w:val="22"/>
          <w:lang w:val="en-GB"/>
        </w:rPr>
        <w:t>FBG</w:t>
      </w:r>
      <w:r w:rsidRPr="006F0F22">
        <w:rPr>
          <w:bCs/>
          <w:sz w:val="22"/>
          <w:szCs w:val="22"/>
          <w:lang w:val="en-GB"/>
        </w:rPr>
        <w:t xml:space="preserve"> in the U</w:t>
      </w:r>
      <w:r w:rsidR="008257E6" w:rsidRPr="006F0F22">
        <w:rPr>
          <w:bCs/>
          <w:sz w:val="22"/>
          <w:szCs w:val="22"/>
          <w:lang w:val="en-GB"/>
        </w:rPr>
        <w:t xml:space="preserve">K </w:t>
      </w:r>
      <w:r w:rsidRPr="006F0F22">
        <w:rPr>
          <w:bCs/>
          <w:sz w:val="22"/>
          <w:szCs w:val="22"/>
          <w:lang w:val="en-GB"/>
        </w:rPr>
        <w:t xml:space="preserve">and a protocol was formalized with the Guinea-Bissau Government, recognizing its legal statute and granting the foundation tax exempt status within the country. The overarching objective of the </w:t>
      </w:r>
      <w:r w:rsidR="008A4887" w:rsidRPr="006F0F22">
        <w:rPr>
          <w:bCs/>
          <w:sz w:val="22"/>
          <w:szCs w:val="22"/>
          <w:lang w:val="en-GB"/>
        </w:rPr>
        <w:t>FBG</w:t>
      </w:r>
      <w:r w:rsidRPr="006F0F22">
        <w:rPr>
          <w:bCs/>
          <w:sz w:val="22"/>
          <w:szCs w:val="22"/>
          <w:lang w:val="en-GB"/>
        </w:rPr>
        <w:t xml:space="preserve"> is to manage endowment, sinking and revolving funds,</w:t>
      </w:r>
      <w:r w:rsidR="00BB70FC" w:rsidRPr="006F0F22">
        <w:rPr>
          <w:bCs/>
          <w:sz w:val="22"/>
          <w:szCs w:val="22"/>
          <w:lang w:val="en-GB"/>
        </w:rPr>
        <w:t xml:space="preserve"> with a view to securing stable </w:t>
      </w:r>
      <w:r w:rsidRPr="006F0F22">
        <w:rPr>
          <w:bCs/>
          <w:sz w:val="22"/>
          <w:szCs w:val="22"/>
          <w:lang w:val="en-GB"/>
        </w:rPr>
        <w:t xml:space="preserve">and sustainable financing for the maintenance of the national PA system and the biodiversity it supports over the long term. </w:t>
      </w:r>
      <w:r w:rsidR="002F0DE6" w:rsidRPr="006F0F22">
        <w:rPr>
          <w:sz w:val="22"/>
          <w:szCs w:val="22"/>
          <w:lang w:val="en-GB"/>
        </w:rPr>
        <w:t>The legal basis and governance structure of the foundation have been carefully designed to comply with the key recommendations identified by the GEF for the effective establishment of trust funds</w:t>
      </w:r>
      <w:r w:rsidR="002F0DE6" w:rsidRPr="006F0F22">
        <w:rPr>
          <w:rStyle w:val="FootnoteReference"/>
          <w:sz w:val="22"/>
          <w:szCs w:val="22"/>
          <w:lang w:val="en-GB"/>
        </w:rPr>
        <w:footnoteReference w:id="12"/>
      </w:r>
      <w:r w:rsidR="00C224D8" w:rsidRPr="006F0F22">
        <w:rPr>
          <w:sz w:val="22"/>
          <w:szCs w:val="22"/>
          <w:lang w:val="en-GB"/>
        </w:rPr>
        <w:t>.</w:t>
      </w:r>
      <w:r w:rsidR="002F0DE6" w:rsidRPr="006F0F22">
        <w:rPr>
          <w:bCs/>
          <w:sz w:val="22"/>
          <w:szCs w:val="22"/>
          <w:lang w:val="en-GB"/>
        </w:rPr>
        <w:t xml:space="preserve"> </w:t>
      </w:r>
      <w:r w:rsidR="008543C3" w:rsidRPr="006F0F22">
        <w:rPr>
          <w:bCs/>
          <w:sz w:val="22"/>
          <w:szCs w:val="22"/>
          <w:lang w:val="en-GB"/>
        </w:rPr>
        <w:t xml:space="preserve">Further </w:t>
      </w:r>
      <w:r w:rsidR="002E1680" w:rsidRPr="006F0F22">
        <w:rPr>
          <w:bCs/>
          <w:sz w:val="22"/>
          <w:szCs w:val="22"/>
          <w:lang w:val="en-GB"/>
        </w:rPr>
        <w:t>achievements by the WB-GEF projects entail the provision of relevant technical assistance to IBAP and other key players on the modus operandi of the charity.</w:t>
      </w:r>
      <w:r w:rsidR="00D85EA9" w:rsidRPr="006F0F22">
        <w:rPr>
          <w:bCs/>
          <w:sz w:val="22"/>
          <w:szCs w:val="22"/>
          <w:lang w:val="en-GB"/>
        </w:rPr>
        <w:t xml:space="preserve"> </w:t>
      </w:r>
      <w:r w:rsidR="006433B3" w:rsidRPr="006F0F22">
        <w:rPr>
          <w:bCs/>
          <w:sz w:val="22"/>
          <w:szCs w:val="22"/>
          <w:lang w:val="en-GB"/>
        </w:rPr>
        <w:t>H</w:t>
      </w:r>
      <w:r w:rsidR="00D85EA9" w:rsidRPr="006F0F22">
        <w:rPr>
          <w:bCs/>
          <w:sz w:val="22"/>
          <w:szCs w:val="22"/>
          <w:lang w:val="en-GB"/>
        </w:rPr>
        <w:t>owever, the WB-GEF pr</w:t>
      </w:r>
      <w:r w:rsidR="001122E9" w:rsidRPr="006F0F22">
        <w:rPr>
          <w:bCs/>
          <w:sz w:val="22"/>
          <w:szCs w:val="22"/>
          <w:lang w:val="en-GB"/>
        </w:rPr>
        <w:t>oj</w:t>
      </w:r>
      <w:r w:rsidR="00D85EA9" w:rsidRPr="006F0F22">
        <w:rPr>
          <w:bCs/>
          <w:sz w:val="22"/>
          <w:szCs w:val="22"/>
          <w:lang w:val="en-GB"/>
        </w:rPr>
        <w:t xml:space="preserve">ect </w:t>
      </w:r>
      <w:r w:rsidR="001122E9" w:rsidRPr="006F0F22">
        <w:rPr>
          <w:bCs/>
          <w:sz w:val="22"/>
          <w:szCs w:val="22"/>
          <w:lang w:val="en-GB"/>
        </w:rPr>
        <w:t xml:space="preserve">faced significant challenges </w:t>
      </w:r>
      <w:r w:rsidR="00D85EA9" w:rsidRPr="006F0F22">
        <w:rPr>
          <w:bCs/>
          <w:sz w:val="22"/>
          <w:szCs w:val="22"/>
          <w:lang w:val="en-GB"/>
        </w:rPr>
        <w:t>linked to government</w:t>
      </w:r>
      <w:r w:rsidR="006433B3" w:rsidRPr="006F0F22">
        <w:rPr>
          <w:bCs/>
          <w:sz w:val="22"/>
          <w:szCs w:val="22"/>
          <w:lang w:val="en-GB"/>
        </w:rPr>
        <w:t xml:space="preserve"> changes </w:t>
      </w:r>
      <w:r w:rsidR="00D85EA9" w:rsidRPr="006F0F22">
        <w:rPr>
          <w:bCs/>
          <w:sz w:val="22"/>
          <w:szCs w:val="22"/>
          <w:lang w:val="en-GB"/>
        </w:rPr>
        <w:t xml:space="preserve">in Guinea-Bissau and was </w:t>
      </w:r>
      <w:r w:rsidR="001122E9" w:rsidRPr="006F0F22">
        <w:rPr>
          <w:bCs/>
          <w:sz w:val="22"/>
          <w:szCs w:val="22"/>
          <w:lang w:val="en-GB"/>
        </w:rPr>
        <w:t xml:space="preserve">therefore </w:t>
      </w:r>
      <w:r w:rsidR="00D85EA9" w:rsidRPr="006F0F22">
        <w:rPr>
          <w:bCs/>
          <w:sz w:val="22"/>
          <w:szCs w:val="22"/>
          <w:lang w:val="en-GB"/>
        </w:rPr>
        <w:t xml:space="preserve">not able to fully deliver on </w:t>
      </w:r>
      <w:r w:rsidR="001122E9" w:rsidRPr="006F0F22">
        <w:rPr>
          <w:bCs/>
          <w:sz w:val="22"/>
          <w:szCs w:val="22"/>
          <w:lang w:val="en-GB"/>
        </w:rPr>
        <w:t xml:space="preserve">various </w:t>
      </w:r>
      <w:r w:rsidR="00D85EA9" w:rsidRPr="006F0F22">
        <w:rPr>
          <w:bCs/>
          <w:sz w:val="22"/>
          <w:szCs w:val="22"/>
          <w:lang w:val="en-GB"/>
        </w:rPr>
        <w:t>aspects ori</w:t>
      </w:r>
      <w:r w:rsidR="001122E9" w:rsidRPr="006F0F22">
        <w:rPr>
          <w:bCs/>
          <w:sz w:val="22"/>
          <w:szCs w:val="22"/>
          <w:lang w:val="en-GB"/>
        </w:rPr>
        <w:t xml:space="preserve">ginally </w:t>
      </w:r>
      <w:r w:rsidR="00D85EA9" w:rsidRPr="006F0F22">
        <w:rPr>
          <w:bCs/>
          <w:sz w:val="22"/>
          <w:szCs w:val="22"/>
          <w:lang w:val="en-GB"/>
        </w:rPr>
        <w:t xml:space="preserve">expected under the project. </w:t>
      </w:r>
      <w:r w:rsidR="0030212D" w:rsidRPr="006F0F22">
        <w:rPr>
          <w:bCs/>
          <w:sz w:val="22"/>
          <w:szCs w:val="22"/>
          <w:lang w:val="en-GB"/>
        </w:rPr>
        <w:t>This includes the fact that the FBG</w:t>
      </w:r>
      <w:r w:rsidR="00990BC0" w:rsidRPr="006F0F22">
        <w:rPr>
          <w:bCs/>
          <w:sz w:val="22"/>
          <w:szCs w:val="22"/>
          <w:lang w:val="en-GB"/>
        </w:rPr>
        <w:t xml:space="preserve"> has not been</w:t>
      </w:r>
      <w:r w:rsidR="0030212D" w:rsidRPr="006F0F22">
        <w:rPr>
          <w:bCs/>
          <w:sz w:val="22"/>
          <w:szCs w:val="22"/>
          <w:lang w:val="en-GB"/>
        </w:rPr>
        <w:t xml:space="preserve"> capitalised to date. </w:t>
      </w:r>
      <w:r w:rsidR="00D85EA9" w:rsidRPr="006F0F22">
        <w:rPr>
          <w:bCs/>
          <w:sz w:val="22"/>
          <w:szCs w:val="22"/>
          <w:lang w:val="en-GB"/>
        </w:rPr>
        <w:t>This is why the follo</w:t>
      </w:r>
      <w:r w:rsidR="001122E9" w:rsidRPr="006F0F22">
        <w:rPr>
          <w:bCs/>
          <w:sz w:val="22"/>
          <w:szCs w:val="22"/>
          <w:lang w:val="en-GB"/>
        </w:rPr>
        <w:t>w-</w:t>
      </w:r>
      <w:r w:rsidR="00D85EA9" w:rsidRPr="006F0F22">
        <w:rPr>
          <w:bCs/>
          <w:sz w:val="22"/>
          <w:szCs w:val="22"/>
          <w:lang w:val="en-GB"/>
        </w:rPr>
        <w:t xml:space="preserve">up WB-IDA project was </w:t>
      </w:r>
      <w:r w:rsidR="001122E9" w:rsidRPr="006F0F22">
        <w:rPr>
          <w:bCs/>
          <w:sz w:val="22"/>
          <w:szCs w:val="22"/>
          <w:lang w:val="en-GB"/>
        </w:rPr>
        <w:t xml:space="preserve">conceived </w:t>
      </w:r>
      <w:r w:rsidR="00D85EA9" w:rsidRPr="006F0F22">
        <w:rPr>
          <w:bCs/>
          <w:sz w:val="22"/>
          <w:szCs w:val="22"/>
          <w:lang w:val="en-GB"/>
        </w:rPr>
        <w:t xml:space="preserve">to complete the operationalisation </w:t>
      </w:r>
      <w:r w:rsidR="001122E9" w:rsidRPr="006F0F22">
        <w:rPr>
          <w:bCs/>
          <w:sz w:val="22"/>
          <w:szCs w:val="22"/>
          <w:lang w:val="en-GB"/>
        </w:rPr>
        <w:t>in tandem with the here-proposed UNDP-</w:t>
      </w:r>
      <w:r w:rsidR="00D85EA9" w:rsidRPr="006F0F22">
        <w:rPr>
          <w:bCs/>
          <w:sz w:val="22"/>
          <w:szCs w:val="22"/>
          <w:lang w:val="en-GB"/>
        </w:rPr>
        <w:t>GEF</w:t>
      </w:r>
      <w:r w:rsidR="001122E9" w:rsidRPr="006F0F22">
        <w:rPr>
          <w:bCs/>
          <w:sz w:val="22"/>
          <w:szCs w:val="22"/>
          <w:lang w:val="en-GB"/>
        </w:rPr>
        <w:t xml:space="preserve"> project</w:t>
      </w:r>
      <w:r w:rsidR="00FE0689" w:rsidRPr="006F0F22">
        <w:rPr>
          <w:bCs/>
          <w:sz w:val="22"/>
          <w:szCs w:val="22"/>
          <w:lang w:val="en-GB"/>
        </w:rPr>
        <w:t xml:space="preserve"> that would in addition leverage </w:t>
      </w:r>
      <w:r w:rsidR="0030212D" w:rsidRPr="006F0F22">
        <w:rPr>
          <w:bCs/>
          <w:sz w:val="22"/>
          <w:szCs w:val="22"/>
          <w:lang w:val="en-GB"/>
        </w:rPr>
        <w:t xml:space="preserve">the initial </w:t>
      </w:r>
      <w:r w:rsidR="00FE0689" w:rsidRPr="006F0F22">
        <w:rPr>
          <w:bCs/>
          <w:sz w:val="22"/>
          <w:szCs w:val="22"/>
          <w:lang w:val="en-GB"/>
        </w:rPr>
        <w:t>FBG capital; therefore the missing operationalisation aspects are covered in the here-proposed project framework</w:t>
      </w:r>
      <w:r w:rsidR="006433B3" w:rsidRPr="006F0F22">
        <w:rPr>
          <w:bCs/>
          <w:sz w:val="22"/>
          <w:szCs w:val="22"/>
          <w:lang w:val="en-GB"/>
        </w:rPr>
        <w:t xml:space="preserve"> and will be financed largely by the </w:t>
      </w:r>
      <w:r w:rsidR="0030212D" w:rsidRPr="006F0F22">
        <w:rPr>
          <w:bCs/>
          <w:sz w:val="22"/>
          <w:szCs w:val="22"/>
          <w:lang w:val="en-GB"/>
        </w:rPr>
        <w:t>WB-</w:t>
      </w:r>
      <w:r w:rsidR="006433B3" w:rsidRPr="006F0F22">
        <w:rPr>
          <w:bCs/>
          <w:sz w:val="22"/>
          <w:szCs w:val="22"/>
          <w:lang w:val="en-GB"/>
        </w:rPr>
        <w:t>IDA project</w:t>
      </w:r>
      <w:r w:rsidR="0030212D" w:rsidRPr="006F0F22">
        <w:rPr>
          <w:bCs/>
          <w:sz w:val="22"/>
          <w:szCs w:val="22"/>
          <w:lang w:val="en-GB"/>
        </w:rPr>
        <w:t xml:space="preserve"> (and further co-financiers including UNDP and the EU)</w:t>
      </w:r>
      <w:r w:rsidR="001122E9" w:rsidRPr="006F0F22">
        <w:rPr>
          <w:bCs/>
          <w:sz w:val="22"/>
          <w:szCs w:val="22"/>
          <w:lang w:val="en-GB"/>
        </w:rPr>
        <w:t xml:space="preserve">. The </w:t>
      </w:r>
      <w:r w:rsidR="009F05D0" w:rsidRPr="006F0F22">
        <w:rPr>
          <w:bCs/>
          <w:sz w:val="22"/>
          <w:szCs w:val="22"/>
          <w:lang w:val="en-GB"/>
        </w:rPr>
        <w:t xml:space="preserve">missing </w:t>
      </w:r>
      <w:r w:rsidR="001122E9" w:rsidRPr="006F0F22">
        <w:rPr>
          <w:bCs/>
          <w:sz w:val="22"/>
          <w:szCs w:val="22"/>
          <w:lang w:val="en-GB"/>
        </w:rPr>
        <w:t xml:space="preserve">items </w:t>
      </w:r>
      <w:r w:rsidR="006433B3" w:rsidRPr="006F0F22">
        <w:rPr>
          <w:bCs/>
          <w:sz w:val="22"/>
          <w:szCs w:val="22"/>
          <w:lang w:val="en-GB"/>
        </w:rPr>
        <w:t>are reflected</w:t>
      </w:r>
      <w:r w:rsidR="00990BC0" w:rsidRPr="006F0F22">
        <w:rPr>
          <w:bCs/>
          <w:sz w:val="22"/>
          <w:szCs w:val="22"/>
          <w:lang w:val="en-GB"/>
        </w:rPr>
        <w:t xml:space="preserve"> in the Outputs of Component </w:t>
      </w:r>
      <w:r w:rsidR="009F05D0" w:rsidRPr="006F0F22">
        <w:rPr>
          <w:bCs/>
          <w:sz w:val="22"/>
          <w:szCs w:val="22"/>
          <w:lang w:val="en-GB"/>
        </w:rPr>
        <w:t xml:space="preserve">1, and include </w:t>
      </w:r>
      <w:r w:rsidR="00516AC1" w:rsidRPr="006F0F22">
        <w:rPr>
          <w:bCs/>
          <w:sz w:val="22"/>
          <w:szCs w:val="22"/>
          <w:lang w:val="en-GB"/>
        </w:rPr>
        <w:t xml:space="preserve">(i) </w:t>
      </w:r>
      <w:r w:rsidR="009F05D0" w:rsidRPr="006F0F22">
        <w:rPr>
          <w:bCs/>
          <w:sz w:val="22"/>
          <w:szCs w:val="22"/>
          <w:lang w:val="en-GB"/>
        </w:rPr>
        <w:t xml:space="preserve">the constituency and full operationalisation of the FBG </w:t>
      </w:r>
      <w:r w:rsidR="004A168B" w:rsidRPr="006F0F22">
        <w:rPr>
          <w:bCs/>
          <w:sz w:val="22"/>
          <w:szCs w:val="22"/>
          <w:lang w:val="en-GB"/>
        </w:rPr>
        <w:t>B</w:t>
      </w:r>
      <w:r w:rsidR="009F05D0" w:rsidRPr="006F0F22">
        <w:rPr>
          <w:bCs/>
          <w:sz w:val="22"/>
          <w:szCs w:val="22"/>
          <w:lang w:val="en-GB"/>
        </w:rPr>
        <w:t xml:space="preserve">oard and Executive Secretariat (the </w:t>
      </w:r>
      <w:r w:rsidR="004A168B" w:rsidRPr="006F0F22">
        <w:rPr>
          <w:bCs/>
          <w:sz w:val="22"/>
          <w:szCs w:val="22"/>
          <w:lang w:val="en-GB"/>
        </w:rPr>
        <w:t xml:space="preserve">FBG management team is </w:t>
      </w:r>
      <w:r w:rsidR="009F05D0" w:rsidRPr="006F0F22">
        <w:rPr>
          <w:bCs/>
          <w:sz w:val="22"/>
          <w:szCs w:val="22"/>
          <w:lang w:val="en-GB"/>
        </w:rPr>
        <w:t>currently being recruited</w:t>
      </w:r>
      <w:r w:rsidR="001420C2" w:rsidRPr="006F0F22">
        <w:rPr>
          <w:bCs/>
          <w:sz w:val="22"/>
          <w:szCs w:val="22"/>
          <w:lang w:val="en-GB"/>
        </w:rPr>
        <w:t xml:space="preserve"> and will not be civil servants</w:t>
      </w:r>
      <w:r w:rsidR="009F05D0" w:rsidRPr="006F0F22">
        <w:rPr>
          <w:bCs/>
          <w:sz w:val="22"/>
          <w:szCs w:val="22"/>
          <w:lang w:val="en-GB"/>
        </w:rPr>
        <w:t>)</w:t>
      </w:r>
      <w:r w:rsidR="00516AC1" w:rsidRPr="006F0F22">
        <w:rPr>
          <w:bCs/>
          <w:sz w:val="22"/>
          <w:szCs w:val="22"/>
          <w:lang w:val="en-GB"/>
        </w:rPr>
        <w:t xml:space="preserve">; (ii) the development and implementation of FBG </w:t>
      </w:r>
      <w:r w:rsidR="009F05D0" w:rsidRPr="006F0F22">
        <w:rPr>
          <w:sz w:val="22"/>
          <w:szCs w:val="22"/>
          <w:lang w:val="en-GB"/>
        </w:rPr>
        <w:t xml:space="preserve">management </w:t>
      </w:r>
      <w:r w:rsidR="00516AC1" w:rsidRPr="006F0F22">
        <w:rPr>
          <w:sz w:val="22"/>
          <w:szCs w:val="22"/>
          <w:lang w:val="en-GB"/>
        </w:rPr>
        <w:t xml:space="preserve">and </w:t>
      </w:r>
      <w:r w:rsidR="009F05D0" w:rsidRPr="006F0F22">
        <w:rPr>
          <w:sz w:val="22"/>
          <w:szCs w:val="22"/>
          <w:lang w:val="en-GB"/>
        </w:rPr>
        <w:t>fiduciary systems</w:t>
      </w:r>
      <w:r w:rsidR="00D073C0" w:rsidRPr="006F0F22">
        <w:rPr>
          <w:sz w:val="22"/>
          <w:szCs w:val="22"/>
          <w:lang w:val="en-GB"/>
        </w:rPr>
        <w:t xml:space="preserve"> (incl. operational manual, procurement guidelines</w:t>
      </w:r>
      <w:r w:rsidR="00BC1AEE" w:rsidRPr="006F0F22">
        <w:rPr>
          <w:sz w:val="22"/>
          <w:szCs w:val="22"/>
          <w:lang w:val="en-GB"/>
        </w:rPr>
        <w:t xml:space="preserve">, </w:t>
      </w:r>
      <w:r w:rsidR="00D073C0" w:rsidRPr="006F0F22">
        <w:rPr>
          <w:sz w:val="22"/>
          <w:szCs w:val="22"/>
          <w:lang w:val="en-GB"/>
        </w:rPr>
        <w:t xml:space="preserve">etc.), </w:t>
      </w:r>
      <w:r w:rsidR="00BC1AEE" w:rsidRPr="006F0F22">
        <w:rPr>
          <w:sz w:val="22"/>
          <w:szCs w:val="22"/>
          <w:lang w:val="en-GB"/>
        </w:rPr>
        <w:t>and of t</w:t>
      </w:r>
      <w:r w:rsidR="009F05D0" w:rsidRPr="006F0F22">
        <w:rPr>
          <w:sz w:val="22"/>
          <w:szCs w:val="22"/>
          <w:lang w:val="en-GB"/>
        </w:rPr>
        <w:t>ranspar</w:t>
      </w:r>
      <w:r w:rsidR="00BC1AEE" w:rsidRPr="006F0F22">
        <w:rPr>
          <w:sz w:val="22"/>
          <w:szCs w:val="22"/>
          <w:lang w:val="en-GB"/>
        </w:rPr>
        <w:t>ent and internationally recognis</w:t>
      </w:r>
      <w:r w:rsidR="009F05D0" w:rsidRPr="006F0F22">
        <w:rPr>
          <w:sz w:val="22"/>
          <w:szCs w:val="22"/>
          <w:lang w:val="en-GB"/>
        </w:rPr>
        <w:t>ed auditing and reporting standards/protocols;</w:t>
      </w:r>
      <w:r w:rsidR="00BC1AEE" w:rsidRPr="006F0F22">
        <w:rPr>
          <w:sz w:val="22"/>
          <w:szCs w:val="22"/>
          <w:lang w:val="en-GB"/>
        </w:rPr>
        <w:t xml:space="preserve"> (iii) the conduct of </w:t>
      </w:r>
      <w:r w:rsidR="009F05D0" w:rsidRPr="006F0F22">
        <w:rPr>
          <w:sz w:val="22"/>
          <w:szCs w:val="22"/>
          <w:lang w:val="en-GB"/>
        </w:rPr>
        <w:t xml:space="preserve">due diligence and </w:t>
      </w:r>
      <w:r w:rsidR="00BC1AEE" w:rsidRPr="006F0F22">
        <w:rPr>
          <w:sz w:val="22"/>
          <w:szCs w:val="22"/>
          <w:lang w:val="en-GB"/>
        </w:rPr>
        <w:t xml:space="preserve">verification of </w:t>
      </w:r>
      <w:r w:rsidR="009F05D0" w:rsidRPr="006F0F22">
        <w:rPr>
          <w:sz w:val="22"/>
          <w:szCs w:val="22"/>
          <w:lang w:val="en-GB"/>
        </w:rPr>
        <w:t>compliance procedures</w:t>
      </w:r>
      <w:r w:rsidR="00BC1AEE" w:rsidRPr="006F0F22">
        <w:rPr>
          <w:sz w:val="22"/>
          <w:szCs w:val="22"/>
          <w:lang w:val="en-GB"/>
        </w:rPr>
        <w:t xml:space="preserve"> to prepare the capitalisation of the endowment fund</w:t>
      </w:r>
      <w:r w:rsidR="009F05D0" w:rsidRPr="006F0F22">
        <w:rPr>
          <w:sz w:val="22"/>
          <w:szCs w:val="22"/>
          <w:lang w:val="en-GB"/>
        </w:rPr>
        <w:t>;</w:t>
      </w:r>
      <w:r w:rsidR="00061C8C" w:rsidRPr="006F0F22">
        <w:rPr>
          <w:sz w:val="22"/>
          <w:szCs w:val="22"/>
          <w:lang w:val="en-GB"/>
        </w:rPr>
        <w:t xml:space="preserve"> (iv) the development of a suitable future investment strategy for the FBG’s resources; (v) the development and implementation of robust c</w:t>
      </w:r>
      <w:r w:rsidR="009F05D0" w:rsidRPr="006F0F22">
        <w:rPr>
          <w:sz w:val="22"/>
          <w:szCs w:val="22"/>
          <w:lang w:val="en-GB"/>
        </w:rPr>
        <w:t xml:space="preserve">omprehensive </w:t>
      </w:r>
      <w:r w:rsidR="00061C8C" w:rsidRPr="006F0F22">
        <w:rPr>
          <w:sz w:val="22"/>
          <w:szCs w:val="22"/>
          <w:lang w:val="en-GB"/>
        </w:rPr>
        <w:t xml:space="preserve">communications, </w:t>
      </w:r>
      <w:r w:rsidR="00AB7125" w:rsidRPr="006F0F22">
        <w:rPr>
          <w:sz w:val="22"/>
          <w:szCs w:val="22"/>
          <w:lang w:val="en-GB"/>
        </w:rPr>
        <w:t xml:space="preserve">business planning, </w:t>
      </w:r>
      <w:r w:rsidR="009F05D0" w:rsidRPr="006F0F22">
        <w:rPr>
          <w:sz w:val="22"/>
          <w:szCs w:val="22"/>
          <w:lang w:val="en-GB"/>
        </w:rPr>
        <w:t>fundraising</w:t>
      </w:r>
      <w:r w:rsidR="00061C8C" w:rsidRPr="006F0F22">
        <w:rPr>
          <w:sz w:val="22"/>
          <w:szCs w:val="22"/>
          <w:lang w:val="en-GB"/>
        </w:rPr>
        <w:t xml:space="preserve"> and </w:t>
      </w:r>
      <w:r w:rsidR="009F05D0" w:rsidRPr="006F0F22">
        <w:rPr>
          <w:sz w:val="22"/>
          <w:szCs w:val="22"/>
          <w:lang w:val="en-GB"/>
        </w:rPr>
        <w:t xml:space="preserve">capitalisation </w:t>
      </w:r>
      <w:r w:rsidR="00061C8C" w:rsidRPr="006F0F22">
        <w:rPr>
          <w:sz w:val="22"/>
          <w:szCs w:val="22"/>
          <w:lang w:val="en-GB"/>
        </w:rPr>
        <w:t>strategies</w:t>
      </w:r>
      <w:r w:rsidR="009F05D0" w:rsidRPr="006F0F22">
        <w:rPr>
          <w:sz w:val="22"/>
          <w:szCs w:val="22"/>
          <w:lang w:val="en-GB"/>
        </w:rPr>
        <w:t xml:space="preserve"> </w:t>
      </w:r>
      <w:r w:rsidR="004A168B" w:rsidRPr="006F0F22">
        <w:rPr>
          <w:sz w:val="22"/>
          <w:szCs w:val="22"/>
          <w:lang w:val="en-GB"/>
        </w:rPr>
        <w:t xml:space="preserve">that also consider an array of </w:t>
      </w:r>
      <w:r w:rsidR="009F05D0" w:rsidRPr="006F0F22">
        <w:rPr>
          <w:sz w:val="22"/>
          <w:szCs w:val="22"/>
          <w:lang w:val="en-GB"/>
        </w:rPr>
        <w:t>potential revenue generation mechanisms.</w:t>
      </w:r>
    </w:p>
    <w:p w:rsidR="00A246C7" w:rsidRDefault="00A246C7" w:rsidP="002A32D9">
      <w:pPr>
        <w:ind w:left="0"/>
        <w:contextualSpacing/>
        <w:rPr>
          <w:rFonts w:asciiTheme="minorHAnsi" w:eastAsiaTheme="minorHAnsi" w:hAnsiTheme="minorHAnsi" w:cstheme="minorHAnsi"/>
          <w:color w:val="FF0000"/>
          <w:sz w:val="20"/>
          <w:szCs w:val="20"/>
          <w:u w:val="single"/>
          <w:lang w:val="en-GB"/>
        </w:rPr>
      </w:pPr>
    </w:p>
    <w:p w:rsidR="005C155C" w:rsidRPr="00EE76D6" w:rsidRDefault="00A6531E" w:rsidP="00A03B22">
      <w:pPr>
        <w:pStyle w:val="Footer"/>
        <w:numPr>
          <w:ilvl w:val="0"/>
          <w:numId w:val="24"/>
        </w:numPr>
        <w:tabs>
          <w:tab w:val="clear" w:pos="4320"/>
          <w:tab w:val="clear" w:pos="8640"/>
        </w:tabs>
        <w:ind w:left="0" w:firstLine="0"/>
        <w:contextualSpacing/>
        <w:jc w:val="both"/>
        <w:rPr>
          <w:sz w:val="22"/>
          <w:szCs w:val="22"/>
          <w:lang w:val="en-GB"/>
        </w:rPr>
      </w:pPr>
      <w:r w:rsidRPr="00EE76D6">
        <w:rPr>
          <w:sz w:val="22"/>
          <w:szCs w:val="22"/>
          <w:lang w:val="en-GB"/>
        </w:rPr>
        <w:t xml:space="preserve">A </w:t>
      </w:r>
      <w:r w:rsidR="008257E6" w:rsidRPr="00EE76D6">
        <w:rPr>
          <w:sz w:val="22"/>
          <w:szCs w:val="22"/>
          <w:lang w:val="en-GB"/>
        </w:rPr>
        <w:t xml:space="preserve">further </w:t>
      </w:r>
      <w:r w:rsidRPr="00EE76D6">
        <w:rPr>
          <w:sz w:val="22"/>
          <w:szCs w:val="22"/>
          <w:lang w:val="en-GB"/>
        </w:rPr>
        <w:t xml:space="preserve">institution is </w:t>
      </w:r>
      <w:r w:rsidR="008257E6" w:rsidRPr="00EE76D6">
        <w:rPr>
          <w:sz w:val="22"/>
          <w:szCs w:val="22"/>
          <w:lang w:val="en-GB"/>
        </w:rPr>
        <w:t xml:space="preserve">critically </w:t>
      </w:r>
      <w:r w:rsidRPr="00EE76D6">
        <w:rPr>
          <w:sz w:val="22"/>
          <w:szCs w:val="22"/>
          <w:lang w:val="en-GB"/>
        </w:rPr>
        <w:t>relevant to this project: t</w:t>
      </w:r>
      <w:r w:rsidR="002C4B0E" w:rsidRPr="00EE76D6">
        <w:rPr>
          <w:sz w:val="22"/>
          <w:szCs w:val="22"/>
          <w:lang w:val="en-GB"/>
        </w:rPr>
        <w:t xml:space="preserve">he </w:t>
      </w:r>
      <w:r w:rsidRPr="00EE76D6">
        <w:rPr>
          <w:sz w:val="22"/>
          <w:szCs w:val="22"/>
          <w:lang w:val="en-GB"/>
        </w:rPr>
        <w:t>Directorate General for Forestry and Fauna (DGFF)</w:t>
      </w:r>
      <w:r w:rsidR="008257E6" w:rsidRPr="00EE76D6">
        <w:rPr>
          <w:sz w:val="22"/>
          <w:szCs w:val="22"/>
          <w:lang w:val="en-GB"/>
        </w:rPr>
        <w:t>, which falls</w:t>
      </w:r>
      <w:r w:rsidRPr="00EE76D6">
        <w:rPr>
          <w:sz w:val="22"/>
          <w:szCs w:val="22"/>
          <w:lang w:val="en-GB"/>
        </w:rPr>
        <w:t xml:space="preserve"> </w:t>
      </w:r>
      <w:r w:rsidR="002C4B0E" w:rsidRPr="00EE76D6">
        <w:rPr>
          <w:sz w:val="22"/>
          <w:szCs w:val="22"/>
          <w:lang w:val="en-GB"/>
        </w:rPr>
        <w:t xml:space="preserve">under </w:t>
      </w:r>
      <w:r w:rsidRPr="00EE76D6">
        <w:rPr>
          <w:sz w:val="22"/>
          <w:szCs w:val="22"/>
          <w:lang w:val="en-GB"/>
        </w:rPr>
        <w:t xml:space="preserve">the jurisdiction of </w:t>
      </w:r>
      <w:r w:rsidR="00157628" w:rsidRPr="00EE76D6">
        <w:rPr>
          <w:sz w:val="22"/>
          <w:szCs w:val="22"/>
          <w:lang w:val="en-GB"/>
        </w:rPr>
        <w:t>the Ministry of Agriculture and Rural Development (MADR)</w:t>
      </w:r>
      <w:r w:rsidR="006F2994" w:rsidRPr="00EE76D6">
        <w:rPr>
          <w:sz w:val="22"/>
          <w:szCs w:val="22"/>
          <w:lang w:val="en-GB"/>
        </w:rPr>
        <w:t>.</w:t>
      </w:r>
      <w:r w:rsidR="008257E6" w:rsidRPr="00EE76D6">
        <w:rPr>
          <w:sz w:val="22"/>
          <w:szCs w:val="22"/>
          <w:lang w:val="en-GB"/>
        </w:rPr>
        <w:t xml:space="preserve"> </w:t>
      </w:r>
      <w:r w:rsidR="006648E1" w:rsidRPr="00EE76D6">
        <w:rPr>
          <w:sz w:val="22"/>
          <w:szCs w:val="22"/>
          <w:lang w:val="en-GB"/>
        </w:rPr>
        <w:t>The DGFF is the authority historically responsible for the management of the nation’s forests</w:t>
      </w:r>
      <w:r w:rsidR="001B43CD" w:rsidRPr="00EE76D6">
        <w:rPr>
          <w:sz w:val="22"/>
          <w:szCs w:val="22"/>
          <w:lang w:val="en-GB"/>
        </w:rPr>
        <w:t xml:space="preserve"> – </w:t>
      </w:r>
      <w:r w:rsidR="006648E1" w:rsidRPr="00EE76D6">
        <w:rPr>
          <w:sz w:val="22"/>
          <w:szCs w:val="22"/>
          <w:lang w:val="en-GB"/>
        </w:rPr>
        <w:t>including</w:t>
      </w:r>
      <w:r w:rsidR="001B43CD" w:rsidRPr="00EE76D6">
        <w:rPr>
          <w:sz w:val="22"/>
          <w:szCs w:val="22"/>
          <w:lang w:val="en-GB"/>
        </w:rPr>
        <w:t xml:space="preserve"> </w:t>
      </w:r>
      <w:r w:rsidR="006648E1" w:rsidRPr="00EE76D6">
        <w:rPr>
          <w:sz w:val="22"/>
          <w:szCs w:val="22"/>
          <w:lang w:val="en-GB"/>
        </w:rPr>
        <w:t>lands under communal forest regimes</w:t>
      </w:r>
      <w:r w:rsidR="001B43CD" w:rsidRPr="00EE76D6">
        <w:rPr>
          <w:sz w:val="22"/>
          <w:szCs w:val="22"/>
          <w:lang w:val="en-GB"/>
        </w:rPr>
        <w:t xml:space="preserve"> – as well as for </w:t>
      </w:r>
      <w:r w:rsidR="006648E1" w:rsidRPr="00EE76D6">
        <w:rPr>
          <w:sz w:val="22"/>
          <w:szCs w:val="22"/>
          <w:lang w:val="en-GB"/>
        </w:rPr>
        <w:t xml:space="preserve">wildlife management policies and hunting concessions, as detailed in the </w:t>
      </w:r>
      <w:r w:rsidR="006F2994" w:rsidRPr="00EE76D6">
        <w:rPr>
          <w:sz w:val="22"/>
          <w:szCs w:val="22"/>
          <w:lang w:val="en-GB"/>
        </w:rPr>
        <w:t>recently revised Forestry Law (</w:t>
      </w:r>
      <w:r w:rsidR="006648E1" w:rsidRPr="00EE76D6">
        <w:rPr>
          <w:sz w:val="22"/>
          <w:szCs w:val="22"/>
          <w:lang w:val="en-GB"/>
        </w:rPr>
        <w:t>Lei Florestal, Decree-Law No. 5/2011</w:t>
      </w:r>
      <w:r w:rsidR="006F2994" w:rsidRPr="00EE76D6">
        <w:rPr>
          <w:sz w:val="22"/>
          <w:szCs w:val="22"/>
          <w:lang w:val="en-GB"/>
        </w:rPr>
        <w:t>)</w:t>
      </w:r>
      <w:r w:rsidR="006648E1" w:rsidRPr="00EE76D6">
        <w:rPr>
          <w:sz w:val="22"/>
          <w:szCs w:val="22"/>
          <w:lang w:val="en-GB"/>
        </w:rPr>
        <w:t xml:space="preserve">. It </w:t>
      </w:r>
      <w:r w:rsidR="002C4B0E" w:rsidRPr="00EE76D6">
        <w:rPr>
          <w:sz w:val="22"/>
          <w:szCs w:val="22"/>
          <w:lang w:val="en-GB"/>
        </w:rPr>
        <w:t xml:space="preserve">has direct </w:t>
      </w:r>
      <w:r w:rsidR="006F2994" w:rsidRPr="00EE76D6">
        <w:rPr>
          <w:sz w:val="22"/>
          <w:szCs w:val="22"/>
          <w:lang w:val="en-GB"/>
        </w:rPr>
        <w:t>responsibility for</w:t>
      </w:r>
      <w:r w:rsidR="002C4B0E" w:rsidRPr="00EE76D6">
        <w:rPr>
          <w:sz w:val="22"/>
          <w:szCs w:val="22"/>
          <w:lang w:val="en-GB"/>
        </w:rPr>
        <w:t xml:space="preserve"> forest policies and the management of forest resources, and is specifically tasked with the issuance</w:t>
      </w:r>
      <w:r w:rsidR="006F2994" w:rsidRPr="00EE76D6">
        <w:rPr>
          <w:sz w:val="22"/>
          <w:szCs w:val="22"/>
          <w:lang w:val="en-GB"/>
        </w:rPr>
        <w:t xml:space="preserve"> of forest concessions. The DGFF</w:t>
      </w:r>
      <w:r w:rsidR="002C4B0E" w:rsidRPr="00EE76D6">
        <w:rPr>
          <w:sz w:val="22"/>
          <w:szCs w:val="22"/>
          <w:lang w:val="en-GB"/>
        </w:rPr>
        <w:t xml:space="preserve"> has a similar mandate to manage and enforce wildlife management policies as part of its oversight of game and hunting concessions, however outside of PAs. In this sense, there is no</w:t>
      </w:r>
      <w:r w:rsidR="001B43CD" w:rsidRPr="00EE76D6">
        <w:rPr>
          <w:sz w:val="22"/>
          <w:szCs w:val="22"/>
          <w:lang w:val="en-GB"/>
        </w:rPr>
        <w:t xml:space="preserve"> formal </w:t>
      </w:r>
      <w:r w:rsidR="002C4B0E" w:rsidRPr="00EE76D6">
        <w:rPr>
          <w:sz w:val="22"/>
          <w:szCs w:val="22"/>
          <w:lang w:val="en-GB"/>
        </w:rPr>
        <w:t>overlap of mandates</w:t>
      </w:r>
      <w:r w:rsidR="00C76FBD" w:rsidRPr="00EE76D6">
        <w:rPr>
          <w:sz w:val="22"/>
          <w:szCs w:val="22"/>
          <w:lang w:val="en-GB"/>
        </w:rPr>
        <w:t xml:space="preserve"> between DGFF and IBAP</w:t>
      </w:r>
      <w:r w:rsidR="002C4B0E" w:rsidRPr="00EE76D6">
        <w:rPr>
          <w:sz w:val="22"/>
          <w:szCs w:val="22"/>
          <w:lang w:val="en-GB"/>
        </w:rPr>
        <w:t xml:space="preserve">, </w:t>
      </w:r>
      <w:r w:rsidR="00C76FBD" w:rsidRPr="00EE76D6">
        <w:rPr>
          <w:sz w:val="22"/>
          <w:szCs w:val="22"/>
          <w:lang w:val="en-GB"/>
        </w:rPr>
        <w:t xml:space="preserve">however, </w:t>
      </w:r>
      <w:r w:rsidR="00E72830" w:rsidRPr="00EE76D6">
        <w:rPr>
          <w:sz w:val="22"/>
          <w:szCs w:val="22"/>
          <w:lang w:val="en-GB"/>
        </w:rPr>
        <w:t xml:space="preserve">differing interpretations of the mandate and missing coordination </w:t>
      </w:r>
      <w:r w:rsidR="005C155C" w:rsidRPr="00EE76D6">
        <w:rPr>
          <w:sz w:val="22"/>
          <w:szCs w:val="22"/>
          <w:lang w:val="en-GB"/>
        </w:rPr>
        <w:t>between the two institutions have</w:t>
      </w:r>
      <w:r w:rsidR="00E72830" w:rsidRPr="00EE76D6">
        <w:rPr>
          <w:sz w:val="22"/>
          <w:szCs w:val="22"/>
          <w:lang w:val="en-GB"/>
        </w:rPr>
        <w:t xml:space="preserve"> in some cases led to misaligned action</w:t>
      </w:r>
      <w:r w:rsidR="005C155C" w:rsidRPr="00EE76D6">
        <w:rPr>
          <w:sz w:val="22"/>
          <w:szCs w:val="22"/>
          <w:lang w:val="en-GB"/>
        </w:rPr>
        <w:t xml:space="preserve">, including </w:t>
      </w:r>
      <w:r w:rsidR="00E72830" w:rsidRPr="00EE76D6">
        <w:rPr>
          <w:sz w:val="22"/>
          <w:szCs w:val="22"/>
          <w:lang w:val="en-GB"/>
        </w:rPr>
        <w:t xml:space="preserve">significant incidences such as exploitation permits being issued by DGFF which were inconsistent with PA and community-based forest management goals defined by IBAP and other stakeholders. </w:t>
      </w:r>
    </w:p>
    <w:p w:rsidR="005C155C" w:rsidRPr="005C155C" w:rsidRDefault="005C155C" w:rsidP="005C155C">
      <w:pPr>
        <w:pStyle w:val="Footer"/>
        <w:tabs>
          <w:tab w:val="clear" w:pos="4320"/>
          <w:tab w:val="clear" w:pos="8640"/>
        </w:tabs>
        <w:ind w:left="0"/>
        <w:contextualSpacing/>
        <w:jc w:val="both"/>
        <w:rPr>
          <w:sz w:val="22"/>
          <w:szCs w:val="22"/>
          <w:lang w:val="en-GB"/>
        </w:rPr>
      </w:pPr>
    </w:p>
    <w:p w:rsidR="002C4B0E" w:rsidRPr="00EE76D6" w:rsidRDefault="002C4B0E" w:rsidP="00A03B22">
      <w:pPr>
        <w:pStyle w:val="Footer"/>
        <w:tabs>
          <w:tab w:val="left" w:pos="0"/>
          <w:tab w:val="left" w:pos="227"/>
          <w:tab w:val="left" w:pos="340"/>
          <w:tab w:val="left" w:pos="397"/>
          <w:tab w:val="left" w:pos="720"/>
        </w:tabs>
        <w:ind w:left="0"/>
        <w:contextualSpacing/>
        <w:jc w:val="both"/>
        <w:rPr>
          <w:b/>
          <w:sz w:val="22"/>
          <w:szCs w:val="22"/>
          <w:lang w:val="en-GB"/>
        </w:rPr>
      </w:pPr>
      <w:r w:rsidRPr="00EE76D6">
        <w:rPr>
          <w:b/>
          <w:sz w:val="22"/>
          <w:szCs w:val="22"/>
          <w:lang w:val="en-GB"/>
        </w:rPr>
        <w:t>Baseline projects and resources that will be committed from them</w:t>
      </w:r>
    </w:p>
    <w:p w:rsidR="008257E6" w:rsidRPr="00EE76D6" w:rsidRDefault="008257E6" w:rsidP="00A03B22">
      <w:pPr>
        <w:pStyle w:val="Footer"/>
        <w:tabs>
          <w:tab w:val="left" w:pos="0"/>
          <w:tab w:val="left" w:pos="227"/>
          <w:tab w:val="left" w:pos="340"/>
          <w:tab w:val="left" w:pos="397"/>
          <w:tab w:val="left" w:pos="720"/>
        </w:tabs>
        <w:ind w:left="0"/>
        <w:contextualSpacing/>
        <w:jc w:val="both"/>
        <w:rPr>
          <w:sz w:val="22"/>
          <w:szCs w:val="22"/>
          <w:lang w:val="en-GB"/>
        </w:rPr>
      </w:pPr>
    </w:p>
    <w:p w:rsidR="00233BBF" w:rsidRPr="00EE76D6" w:rsidRDefault="0098031A" w:rsidP="00233BBF">
      <w:pPr>
        <w:pStyle w:val="Footer"/>
        <w:numPr>
          <w:ilvl w:val="0"/>
          <w:numId w:val="24"/>
        </w:numPr>
        <w:tabs>
          <w:tab w:val="clear" w:pos="4320"/>
          <w:tab w:val="clear" w:pos="8640"/>
        </w:tabs>
        <w:ind w:left="0" w:firstLine="0"/>
        <w:contextualSpacing/>
        <w:jc w:val="both"/>
        <w:rPr>
          <w:sz w:val="22"/>
          <w:szCs w:val="22"/>
          <w:lang w:val="en-GB"/>
        </w:rPr>
      </w:pPr>
      <w:r w:rsidRPr="00EE76D6">
        <w:rPr>
          <w:sz w:val="22"/>
          <w:szCs w:val="22"/>
          <w:lang w:val="en-GB"/>
        </w:rPr>
        <w:t>Th</w:t>
      </w:r>
      <w:r w:rsidR="00C93D60" w:rsidRPr="00EE76D6">
        <w:rPr>
          <w:sz w:val="22"/>
          <w:szCs w:val="22"/>
          <w:lang w:val="en-GB"/>
        </w:rPr>
        <w:t>rough IBAP a</w:t>
      </w:r>
      <w:r w:rsidRPr="00EE76D6">
        <w:rPr>
          <w:sz w:val="22"/>
          <w:szCs w:val="22"/>
          <w:lang w:val="en-GB"/>
        </w:rPr>
        <w:t>pproximately $7,400,000 will be invested over the four year project life directly in biodiversity conservation in Guinea Bissau</w:t>
      </w:r>
      <w:r w:rsidR="00C93D60" w:rsidRPr="00EE76D6">
        <w:rPr>
          <w:sz w:val="22"/>
          <w:szCs w:val="22"/>
          <w:lang w:val="en-GB"/>
        </w:rPr>
        <w:t>, based on an extrapolation of IBAP’s 2013 annual budget</w:t>
      </w:r>
      <w:r w:rsidRPr="00EE76D6">
        <w:rPr>
          <w:sz w:val="22"/>
          <w:szCs w:val="22"/>
          <w:lang w:val="en-GB"/>
        </w:rPr>
        <w:t xml:space="preserve">. This will </w:t>
      </w:r>
      <w:r w:rsidR="001F6488" w:rsidRPr="00EE76D6">
        <w:rPr>
          <w:sz w:val="22"/>
          <w:szCs w:val="22"/>
          <w:lang w:val="en-GB"/>
        </w:rPr>
        <w:t xml:space="preserve">provide resources for the overall operational costs of IBAP’s central office and the management of existing protected areas. The origin of these resources </w:t>
      </w:r>
      <w:r w:rsidR="00577F75" w:rsidRPr="00EE76D6">
        <w:rPr>
          <w:sz w:val="22"/>
          <w:szCs w:val="22"/>
          <w:lang w:val="en-GB"/>
        </w:rPr>
        <w:t>will be</w:t>
      </w:r>
      <w:r w:rsidR="00ED5058" w:rsidRPr="00EE76D6">
        <w:rPr>
          <w:sz w:val="22"/>
          <w:szCs w:val="22"/>
          <w:lang w:val="en-GB"/>
        </w:rPr>
        <w:t xml:space="preserve">: (1) </w:t>
      </w:r>
      <w:r w:rsidR="00577F75" w:rsidRPr="00EE76D6">
        <w:rPr>
          <w:sz w:val="22"/>
          <w:szCs w:val="22"/>
          <w:lang w:val="en-GB"/>
        </w:rPr>
        <w:t xml:space="preserve">the first-ever annual </w:t>
      </w:r>
      <w:r w:rsidRPr="00EE76D6">
        <w:rPr>
          <w:sz w:val="22"/>
          <w:szCs w:val="22"/>
          <w:lang w:val="en-GB"/>
        </w:rPr>
        <w:t xml:space="preserve">budget allocations made by the national government </w:t>
      </w:r>
      <w:r w:rsidR="00577F75" w:rsidRPr="00EE76D6">
        <w:rPr>
          <w:sz w:val="22"/>
          <w:szCs w:val="22"/>
          <w:lang w:val="en-GB"/>
        </w:rPr>
        <w:t>(</w:t>
      </w:r>
      <w:r w:rsidRPr="00EE76D6">
        <w:rPr>
          <w:sz w:val="22"/>
          <w:szCs w:val="22"/>
          <w:lang w:val="en-GB"/>
        </w:rPr>
        <w:t>c. $500,000 for IBAP salaries/operations</w:t>
      </w:r>
      <w:r w:rsidR="001A2A18" w:rsidRPr="00EE76D6">
        <w:rPr>
          <w:sz w:val="22"/>
          <w:szCs w:val="22"/>
          <w:lang w:val="en-GB"/>
        </w:rPr>
        <w:t>;</w:t>
      </w:r>
      <w:r w:rsidR="00577F75" w:rsidRPr="00EE76D6">
        <w:rPr>
          <w:sz w:val="22"/>
          <w:szCs w:val="22"/>
          <w:lang w:val="en-GB"/>
        </w:rPr>
        <w:t xml:space="preserve"> while to date all contributions consisted in allowing tax exemption for external donor grants</w:t>
      </w:r>
      <w:r w:rsidR="001A2A18" w:rsidRPr="00EE76D6">
        <w:rPr>
          <w:sz w:val="22"/>
          <w:szCs w:val="22"/>
          <w:lang w:val="en-GB"/>
        </w:rPr>
        <w:t>)</w:t>
      </w:r>
      <w:r w:rsidR="00ED5058" w:rsidRPr="00EE76D6">
        <w:rPr>
          <w:sz w:val="22"/>
          <w:szCs w:val="22"/>
          <w:lang w:val="en-GB"/>
        </w:rPr>
        <w:t xml:space="preserve">; </w:t>
      </w:r>
      <w:r w:rsidRPr="00EE76D6">
        <w:rPr>
          <w:sz w:val="22"/>
          <w:szCs w:val="22"/>
          <w:lang w:val="en-GB"/>
        </w:rPr>
        <w:t xml:space="preserve">and </w:t>
      </w:r>
      <w:r w:rsidR="00ED5058" w:rsidRPr="00EE76D6">
        <w:rPr>
          <w:sz w:val="22"/>
          <w:szCs w:val="22"/>
          <w:lang w:val="en-GB"/>
        </w:rPr>
        <w:t xml:space="preserve">(2) </w:t>
      </w:r>
      <w:r w:rsidRPr="00EE76D6">
        <w:rPr>
          <w:sz w:val="22"/>
          <w:szCs w:val="22"/>
          <w:lang w:val="en-GB"/>
        </w:rPr>
        <w:t>targeted investments by donor agencies and other partners (c. $6,900,000)</w:t>
      </w:r>
      <w:r w:rsidR="006C5D7D" w:rsidRPr="00EE76D6">
        <w:rPr>
          <w:sz w:val="22"/>
          <w:szCs w:val="22"/>
          <w:lang w:val="en-GB"/>
        </w:rPr>
        <w:t>; h</w:t>
      </w:r>
      <w:r w:rsidRPr="00EE76D6">
        <w:rPr>
          <w:sz w:val="22"/>
          <w:szCs w:val="22"/>
          <w:lang w:val="en-GB"/>
        </w:rPr>
        <w:t>owever, this extrapolation is highly unstable as it depends on donor contributions renewed in annual pledges</w:t>
      </w:r>
      <w:r w:rsidR="00276866" w:rsidRPr="00EE76D6">
        <w:rPr>
          <w:sz w:val="22"/>
          <w:szCs w:val="22"/>
          <w:lang w:val="en-GB"/>
        </w:rPr>
        <w:t xml:space="preserve"> (t</w:t>
      </w:r>
      <w:r w:rsidR="00233BBF" w:rsidRPr="00EE76D6">
        <w:rPr>
          <w:sz w:val="22"/>
          <w:szCs w:val="22"/>
          <w:lang w:val="en-GB"/>
        </w:rPr>
        <w:t>he fl</w:t>
      </w:r>
      <w:r w:rsidR="00276866" w:rsidRPr="00EE76D6">
        <w:rPr>
          <w:sz w:val="22"/>
          <w:szCs w:val="22"/>
          <w:lang w:val="en-GB"/>
        </w:rPr>
        <w:t xml:space="preserve">ow of funds </w:t>
      </w:r>
      <w:r w:rsidR="00233BBF" w:rsidRPr="00EE76D6">
        <w:rPr>
          <w:sz w:val="22"/>
          <w:szCs w:val="22"/>
          <w:lang w:val="en-GB"/>
        </w:rPr>
        <w:t>progressed from $736,578 in 2007</w:t>
      </w:r>
      <w:r w:rsidR="00276866" w:rsidRPr="00EE76D6">
        <w:rPr>
          <w:sz w:val="22"/>
          <w:szCs w:val="22"/>
          <w:lang w:val="en-GB"/>
        </w:rPr>
        <w:t>,</w:t>
      </w:r>
      <w:r w:rsidR="00233BBF" w:rsidRPr="00EE76D6">
        <w:rPr>
          <w:sz w:val="22"/>
          <w:szCs w:val="22"/>
          <w:lang w:val="en-GB"/>
        </w:rPr>
        <w:t xml:space="preserve"> to an anticipated $1,860,866 in 2013</w:t>
      </w:r>
      <w:r w:rsidR="00276866" w:rsidRPr="00EE76D6">
        <w:rPr>
          <w:sz w:val="22"/>
          <w:szCs w:val="22"/>
          <w:lang w:val="en-GB"/>
        </w:rPr>
        <w:t xml:space="preserve"> when the </w:t>
      </w:r>
      <w:r w:rsidR="00233BBF" w:rsidRPr="00EE76D6">
        <w:rPr>
          <w:sz w:val="22"/>
          <w:szCs w:val="22"/>
          <w:lang w:val="en-GB"/>
        </w:rPr>
        <w:t xml:space="preserve">financing gap was estimated to be </w:t>
      </w:r>
      <w:r w:rsidR="00276866" w:rsidRPr="00EE76D6">
        <w:rPr>
          <w:sz w:val="22"/>
          <w:szCs w:val="22"/>
          <w:lang w:val="en-GB"/>
        </w:rPr>
        <w:t xml:space="preserve">$296,728 – </w:t>
      </w:r>
      <w:r w:rsidR="00233BBF" w:rsidRPr="00EE76D6">
        <w:rPr>
          <w:sz w:val="22"/>
          <w:szCs w:val="22"/>
          <w:lang w:val="en-GB"/>
        </w:rPr>
        <w:t>16%).</w:t>
      </w:r>
    </w:p>
    <w:p w:rsidR="00233BBF" w:rsidRPr="00EE76D6" w:rsidRDefault="00233BBF" w:rsidP="00233BBF">
      <w:pPr>
        <w:pStyle w:val="Footer"/>
        <w:tabs>
          <w:tab w:val="clear" w:pos="4320"/>
          <w:tab w:val="clear" w:pos="8640"/>
        </w:tabs>
        <w:ind w:left="0"/>
        <w:contextualSpacing/>
        <w:jc w:val="both"/>
        <w:rPr>
          <w:sz w:val="22"/>
          <w:szCs w:val="22"/>
          <w:lang w:val="en-GB"/>
        </w:rPr>
      </w:pPr>
    </w:p>
    <w:p w:rsidR="00EA0B27" w:rsidRDefault="00E0693E" w:rsidP="0098031A">
      <w:pPr>
        <w:pStyle w:val="Footer"/>
        <w:numPr>
          <w:ilvl w:val="0"/>
          <w:numId w:val="24"/>
        </w:numPr>
        <w:tabs>
          <w:tab w:val="clear" w:pos="4320"/>
          <w:tab w:val="clear" w:pos="8640"/>
        </w:tabs>
        <w:ind w:left="0" w:firstLine="0"/>
        <w:contextualSpacing/>
        <w:jc w:val="both"/>
        <w:rPr>
          <w:sz w:val="22"/>
          <w:szCs w:val="22"/>
          <w:lang w:val="en-GB"/>
        </w:rPr>
      </w:pPr>
      <w:r w:rsidRPr="00EE76D6">
        <w:rPr>
          <w:sz w:val="22"/>
          <w:szCs w:val="22"/>
          <w:lang w:val="en-GB"/>
        </w:rPr>
        <w:lastRenderedPageBreak/>
        <w:t>A</w:t>
      </w:r>
      <w:r w:rsidR="00651E07" w:rsidRPr="00EE76D6">
        <w:rPr>
          <w:sz w:val="22"/>
          <w:szCs w:val="22"/>
          <w:lang w:val="en-GB"/>
        </w:rPr>
        <w:t>n</w:t>
      </w:r>
      <w:r w:rsidRPr="00EE76D6">
        <w:rPr>
          <w:sz w:val="22"/>
          <w:szCs w:val="22"/>
          <w:lang w:val="en-GB"/>
        </w:rPr>
        <w:t xml:space="preserve"> estimated </w:t>
      </w:r>
      <w:r w:rsidR="000D5DB9" w:rsidRPr="00EE76D6">
        <w:rPr>
          <w:sz w:val="22"/>
          <w:szCs w:val="22"/>
          <w:lang w:val="en-GB"/>
        </w:rPr>
        <w:t>$1,</w:t>
      </w:r>
      <w:r w:rsidR="00E052F0" w:rsidRPr="00EE76D6">
        <w:rPr>
          <w:sz w:val="22"/>
          <w:szCs w:val="22"/>
          <w:lang w:val="en-GB"/>
        </w:rPr>
        <w:t>115</w:t>
      </w:r>
      <w:r w:rsidR="000D5DB9" w:rsidRPr="00EE76D6">
        <w:rPr>
          <w:sz w:val="22"/>
          <w:szCs w:val="22"/>
          <w:lang w:val="en-GB"/>
        </w:rPr>
        <w:t xml:space="preserve">,000 </w:t>
      </w:r>
      <w:r w:rsidR="006C5D7D" w:rsidRPr="00EE76D6">
        <w:rPr>
          <w:sz w:val="22"/>
          <w:szCs w:val="22"/>
          <w:lang w:val="en-GB"/>
        </w:rPr>
        <w:t xml:space="preserve">is being </w:t>
      </w:r>
      <w:r w:rsidR="00C3170D" w:rsidRPr="00EE76D6">
        <w:rPr>
          <w:sz w:val="22"/>
          <w:szCs w:val="22"/>
          <w:lang w:val="en-GB"/>
        </w:rPr>
        <w:t xml:space="preserve">invested in Guinea Bissau </w:t>
      </w:r>
      <w:r w:rsidR="008D364E" w:rsidRPr="00EE76D6">
        <w:rPr>
          <w:sz w:val="22"/>
          <w:szCs w:val="22"/>
          <w:lang w:val="en-GB"/>
        </w:rPr>
        <w:t xml:space="preserve">by the </w:t>
      </w:r>
      <w:r w:rsidR="000C30E3" w:rsidRPr="00EE76D6">
        <w:rPr>
          <w:sz w:val="22"/>
          <w:szCs w:val="22"/>
          <w:lang w:val="en-GB"/>
        </w:rPr>
        <w:t>EU-UNDP-</w:t>
      </w:r>
      <w:r w:rsidR="002C4B0E" w:rsidRPr="00EE76D6">
        <w:rPr>
          <w:sz w:val="22"/>
          <w:szCs w:val="22"/>
          <w:lang w:val="en-GB"/>
        </w:rPr>
        <w:t xml:space="preserve">WWF West African Marine Ecoregion </w:t>
      </w:r>
      <w:r w:rsidR="00C3170D" w:rsidRPr="00EE76D6">
        <w:rPr>
          <w:sz w:val="22"/>
          <w:szCs w:val="22"/>
          <w:lang w:val="en-GB"/>
        </w:rPr>
        <w:t>P</w:t>
      </w:r>
      <w:r w:rsidR="002C4B0E" w:rsidRPr="00EE76D6">
        <w:rPr>
          <w:sz w:val="22"/>
          <w:szCs w:val="22"/>
          <w:lang w:val="en-GB"/>
        </w:rPr>
        <w:t>roject (WAMER)</w:t>
      </w:r>
      <w:r w:rsidR="00C3170D" w:rsidRPr="00EE76D6">
        <w:rPr>
          <w:sz w:val="22"/>
          <w:szCs w:val="22"/>
          <w:lang w:val="en-GB"/>
        </w:rPr>
        <w:t>,</w:t>
      </w:r>
      <w:r w:rsidR="002C4B0E" w:rsidRPr="00EE76D6">
        <w:rPr>
          <w:sz w:val="22"/>
          <w:szCs w:val="22"/>
          <w:lang w:val="en-GB"/>
        </w:rPr>
        <w:t xml:space="preserve"> </w:t>
      </w:r>
      <w:r w:rsidR="00C3170D" w:rsidRPr="00EE76D6">
        <w:rPr>
          <w:sz w:val="22"/>
          <w:szCs w:val="22"/>
          <w:lang w:val="en-GB"/>
        </w:rPr>
        <w:t xml:space="preserve">which aims </w:t>
      </w:r>
      <w:r w:rsidR="002C4B0E" w:rsidRPr="00EE76D6">
        <w:rPr>
          <w:i/>
          <w:sz w:val="22"/>
          <w:szCs w:val="22"/>
          <w:lang w:val="en-GB"/>
        </w:rPr>
        <w:t>inter alia</w:t>
      </w:r>
      <w:r w:rsidR="00C3170D" w:rsidRPr="00EE76D6">
        <w:rPr>
          <w:sz w:val="22"/>
          <w:szCs w:val="22"/>
          <w:lang w:val="en-GB"/>
        </w:rPr>
        <w:t xml:space="preserve"> </w:t>
      </w:r>
      <w:r w:rsidR="002C4B0E" w:rsidRPr="00EE76D6">
        <w:rPr>
          <w:sz w:val="22"/>
          <w:szCs w:val="22"/>
          <w:lang w:val="en-GB"/>
        </w:rPr>
        <w:t xml:space="preserve">to improve governance and institutional capacity in </w:t>
      </w:r>
      <w:r w:rsidR="007B4B09" w:rsidRPr="00EE76D6">
        <w:rPr>
          <w:sz w:val="22"/>
          <w:szCs w:val="22"/>
          <w:lang w:val="en-GB"/>
        </w:rPr>
        <w:t xml:space="preserve">the country’s </w:t>
      </w:r>
      <w:r w:rsidR="002C4B0E" w:rsidRPr="00EE76D6">
        <w:rPr>
          <w:sz w:val="22"/>
          <w:szCs w:val="22"/>
          <w:lang w:val="en-GB"/>
        </w:rPr>
        <w:t>coastal and marine protected areas</w:t>
      </w:r>
      <w:r w:rsidR="002319E1" w:rsidRPr="00EE76D6">
        <w:rPr>
          <w:sz w:val="22"/>
          <w:szCs w:val="22"/>
          <w:lang w:val="en-GB"/>
        </w:rPr>
        <w:t xml:space="preserve">; this </w:t>
      </w:r>
      <w:r w:rsidR="007B4B09" w:rsidRPr="00EE76D6">
        <w:rPr>
          <w:sz w:val="22"/>
          <w:szCs w:val="22"/>
          <w:lang w:val="en-GB"/>
        </w:rPr>
        <w:t xml:space="preserve">project however </w:t>
      </w:r>
      <w:r w:rsidR="002319E1" w:rsidRPr="00EE76D6">
        <w:rPr>
          <w:sz w:val="22"/>
          <w:szCs w:val="22"/>
          <w:lang w:val="en-GB"/>
        </w:rPr>
        <w:t>also entail</w:t>
      </w:r>
      <w:r w:rsidR="006C5D7D" w:rsidRPr="00EE76D6">
        <w:rPr>
          <w:sz w:val="22"/>
          <w:szCs w:val="22"/>
          <w:lang w:val="en-GB"/>
        </w:rPr>
        <w:t>s</w:t>
      </w:r>
      <w:r w:rsidR="002319E1" w:rsidRPr="00EE76D6">
        <w:rPr>
          <w:sz w:val="22"/>
          <w:szCs w:val="22"/>
          <w:lang w:val="en-GB"/>
        </w:rPr>
        <w:t xml:space="preserve"> specific support for fundraising and communication activities by FBG</w:t>
      </w:r>
      <w:r w:rsidR="00951143" w:rsidRPr="00EE76D6">
        <w:rPr>
          <w:sz w:val="22"/>
          <w:szCs w:val="22"/>
          <w:lang w:val="en-GB"/>
        </w:rPr>
        <w:t xml:space="preserve"> (see </w:t>
      </w:r>
      <w:r w:rsidR="00951143" w:rsidRPr="002749AD">
        <w:rPr>
          <w:sz w:val="22"/>
          <w:szCs w:val="22"/>
          <w:lang w:val="en-GB"/>
        </w:rPr>
        <w:t xml:space="preserve">§ </w:t>
      </w:r>
      <w:r w:rsidR="00327380" w:rsidRPr="006F0F22">
        <w:rPr>
          <w:sz w:val="22"/>
          <w:szCs w:val="22"/>
          <w:lang w:val="en-GB"/>
        </w:rPr>
        <w:t>1</w:t>
      </w:r>
      <w:r w:rsidR="002749AD" w:rsidRPr="006F0F22">
        <w:rPr>
          <w:sz w:val="22"/>
          <w:szCs w:val="22"/>
          <w:lang w:val="en-GB"/>
        </w:rPr>
        <w:t>2</w:t>
      </w:r>
      <w:r w:rsidR="00327380" w:rsidRPr="006F0F22">
        <w:rPr>
          <w:sz w:val="22"/>
          <w:szCs w:val="22"/>
          <w:lang w:val="en-GB"/>
        </w:rPr>
        <w:t xml:space="preserve"> </w:t>
      </w:r>
      <w:r w:rsidR="00951143" w:rsidRPr="006F0F22">
        <w:rPr>
          <w:sz w:val="22"/>
          <w:szCs w:val="22"/>
          <w:lang w:val="en-GB"/>
        </w:rPr>
        <w:t>hereunder)</w:t>
      </w:r>
      <w:r w:rsidR="002C4B0E" w:rsidRPr="006F0F22">
        <w:rPr>
          <w:sz w:val="22"/>
          <w:szCs w:val="22"/>
          <w:lang w:val="en-GB"/>
        </w:rPr>
        <w:t>.</w:t>
      </w:r>
      <w:r w:rsidR="0052252D" w:rsidRPr="006F0F22">
        <w:rPr>
          <w:sz w:val="22"/>
          <w:szCs w:val="22"/>
          <w:lang w:val="en-GB"/>
        </w:rPr>
        <w:t xml:space="preserve"> In a similar fashion </w:t>
      </w:r>
      <w:r w:rsidR="00951143" w:rsidRPr="006F0F22">
        <w:rPr>
          <w:sz w:val="22"/>
          <w:szCs w:val="22"/>
          <w:lang w:val="en-GB"/>
        </w:rPr>
        <w:t>a new World Bank/IDA project will provide $1,270,000 for the further consolidation and strengthening of capacity for the management of coastal and marine protected areas and biodiversity in Guinea Bissau, in addition to supporting the BioGuinea Foundation</w:t>
      </w:r>
      <w:r w:rsidR="00FD70B8" w:rsidRPr="006F0F22">
        <w:rPr>
          <w:sz w:val="22"/>
          <w:szCs w:val="22"/>
          <w:lang w:val="en-GB"/>
        </w:rPr>
        <w:t xml:space="preserve"> </w:t>
      </w:r>
      <w:r w:rsidR="00951143" w:rsidRPr="006F0F22">
        <w:rPr>
          <w:sz w:val="22"/>
          <w:szCs w:val="22"/>
          <w:lang w:val="en-GB"/>
        </w:rPr>
        <w:t>(</w:t>
      </w:r>
      <w:r w:rsidR="00A600F3" w:rsidRPr="006F0F22">
        <w:rPr>
          <w:sz w:val="22"/>
          <w:szCs w:val="22"/>
          <w:lang w:val="en-GB"/>
        </w:rPr>
        <w:t>see § 12 hereunder</w:t>
      </w:r>
      <w:r w:rsidR="00951143" w:rsidRPr="006F0F22">
        <w:rPr>
          <w:sz w:val="22"/>
          <w:szCs w:val="22"/>
          <w:lang w:val="en-GB"/>
        </w:rPr>
        <w:t xml:space="preserve">). </w:t>
      </w:r>
      <w:r w:rsidR="00791609" w:rsidRPr="006F0F22">
        <w:rPr>
          <w:sz w:val="22"/>
          <w:szCs w:val="22"/>
          <w:lang w:val="en-GB"/>
        </w:rPr>
        <w:t>T</w:t>
      </w:r>
      <w:r w:rsidR="00C0370C" w:rsidRPr="006F0F22">
        <w:rPr>
          <w:sz w:val="22"/>
          <w:szCs w:val="22"/>
          <w:lang w:val="en-GB"/>
        </w:rPr>
        <w:t>he</w:t>
      </w:r>
      <w:r w:rsidR="002C4B0E" w:rsidRPr="006F0F22">
        <w:rPr>
          <w:sz w:val="22"/>
          <w:szCs w:val="22"/>
          <w:lang w:val="en-GB"/>
        </w:rPr>
        <w:t xml:space="preserve"> </w:t>
      </w:r>
      <w:r w:rsidR="008D364E" w:rsidRPr="006F0F22">
        <w:rPr>
          <w:sz w:val="22"/>
          <w:szCs w:val="22"/>
          <w:lang w:val="en-GB"/>
        </w:rPr>
        <w:t>above-</w:t>
      </w:r>
      <w:r w:rsidR="00651E07" w:rsidRPr="006F0F22">
        <w:rPr>
          <w:sz w:val="22"/>
          <w:szCs w:val="22"/>
          <w:lang w:val="en-GB"/>
        </w:rPr>
        <w:t>mentioned</w:t>
      </w:r>
      <w:r w:rsidR="0005231D" w:rsidRPr="006F0F22">
        <w:rPr>
          <w:sz w:val="22"/>
          <w:szCs w:val="22"/>
          <w:lang w:val="en-GB"/>
        </w:rPr>
        <w:t xml:space="preserve"> </w:t>
      </w:r>
      <w:r w:rsidR="008D364E" w:rsidRPr="006F0F22">
        <w:rPr>
          <w:sz w:val="22"/>
          <w:szCs w:val="22"/>
          <w:lang w:val="en-GB"/>
        </w:rPr>
        <w:t xml:space="preserve">ongoing </w:t>
      </w:r>
      <w:r w:rsidR="000C30E3" w:rsidRPr="006F0F22">
        <w:rPr>
          <w:sz w:val="22"/>
          <w:szCs w:val="22"/>
          <w:lang w:val="en-GB"/>
        </w:rPr>
        <w:t>UNDP-</w:t>
      </w:r>
      <w:r w:rsidR="002C4B0E" w:rsidRPr="006F0F22">
        <w:rPr>
          <w:sz w:val="22"/>
          <w:szCs w:val="22"/>
          <w:lang w:val="en-GB"/>
        </w:rPr>
        <w:t xml:space="preserve">GEF </w:t>
      </w:r>
      <w:r w:rsidR="007B4B09" w:rsidRPr="006F0F22">
        <w:rPr>
          <w:sz w:val="22"/>
          <w:szCs w:val="22"/>
          <w:lang w:val="en-GB"/>
        </w:rPr>
        <w:t xml:space="preserve">Forest Belt </w:t>
      </w:r>
      <w:r w:rsidR="008D364E" w:rsidRPr="006F0F22">
        <w:rPr>
          <w:sz w:val="22"/>
          <w:szCs w:val="22"/>
          <w:lang w:val="en-GB"/>
        </w:rPr>
        <w:t xml:space="preserve">PA </w:t>
      </w:r>
      <w:r w:rsidR="002C4B0E" w:rsidRPr="006F0F22">
        <w:rPr>
          <w:sz w:val="22"/>
          <w:szCs w:val="22"/>
          <w:lang w:val="en-GB"/>
        </w:rPr>
        <w:t xml:space="preserve">project </w:t>
      </w:r>
      <w:r w:rsidR="00A40DB0" w:rsidRPr="006F0F22">
        <w:rPr>
          <w:sz w:val="22"/>
          <w:szCs w:val="22"/>
          <w:lang w:val="en-GB"/>
        </w:rPr>
        <w:t>is directly contributing</w:t>
      </w:r>
      <w:r w:rsidR="002C4B0E" w:rsidRPr="006F0F22">
        <w:rPr>
          <w:sz w:val="22"/>
          <w:szCs w:val="22"/>
          <w:lang w:val="en-GB"/>
        </w:rPr>
        <w:t xml:space="preserve"> </w:t>
      </w:r>
      <w:r w:rsidR="00A40DB0" w:rsidRPr="006F0F22">
        <w:rPr>
          <w:sz w:val="22"/>
          <w:szCs w:val="22"/>
          <w:lang w:val="en-GB"/>
        </w:rPr>
        <w:t>$1,700,000 (</w:t>
      </w:r>
      <w:r w:rsidR="00480153" w:rsidRPr="006F0F22">
        <w:rPr>
          <w:sz w:val="22"/>
          <w:szCs w:val="22"/>
          <w:lang w:val="en-GB"/>
        </w:rPr>
        <w:t>$</w:t>
      </w:r>
      <w:r w:rsidR="00C634E7" w:rsidRPr="006F0F22">
        <w:rPr>
          <w:sz w:val="22"/>
          <w:szCs w:val="22"/>
          <w:lang w:val="en-GB"/>
        </w:rPr>
        <w:t xml:space="preserve">950,000 of </w:t>
      </w:r>
      <w:r w:rsidR="0005231D" w:rsidRPr="006F0F22">
        <w:rPr>
          <w:sz w:val="22"/>
          <w:szCs w:val="22"/>
          <w:lang w:val="en-GB"/>
        </w:rPr>
        <w:t xml:space="preserve">GEF and </w:t>
      </w:r>
      <w:r w:rsidR="00480153" w:rsidRPr="006F0F22">
        <w:rPr>
          <w:sz w:val="22"/>
          <w:szCs w:val="22"/>
          <w:lang w:val="en-GB"/>
        </w:rPr>
        <w:t>$</w:t>
      </w:r>
      <w:r w:rsidR="0005231D" w:rsidRPr="006F0F22">
        <w:rPr>
          <w:sz w:val="22"/>
          <w:szCs w:val="22"/>
          <w:lang w:val="en-GB"/>
        </w:rPr>
        <w:t>760,000 of UNDP grants</w:t>
      </w:r>
      <w:r w:rsidR="00A40DB0" w:rsidRPr="006F0F22">
        <w:rPr>
          <w:sz w:val="22"/>
          <w:szCs w:val="22"/>
          <w:lang w:val="en-GB"/>
        </w:rPr>
        <w:t xml:space="preserve">) </w:t>
      </w:r>
      <w:r w:rsidR="002C4B0E" w:rsidRPr="006F0F22">
        <w:rPr>
          <w:sz w:val="22"/>
          <w:szCs w:val="22"/>
          <w:lang w:val="en-GB"/>
        </w:rPr>
        <w:t xml:space="preserve">to the </w:t>
      </w:r>
      <w:r w:rsidR="007B4B09" w:rsidRPr="006F0F22">
        <w:rPr>
          <w:sz w:val="22"/>
          <w:szCs w:val="22"/>
          <w:lang w:val="en-GB"/>
        </w:rPr>
        <w:t xml:space="preserve">creation </w:t>
      </w:r>
      <w:r w:rsidR="002C4B0E" w:rsidRPr="006F0F22">
        <w:rPr>
          <w:sz w:val="22"/>
          <w:szCs w:val="22"/>
          <w:lang w:val="en-GB"/>
        </w:rPr>
        <w:t xml:space="preserve">and management of </w:t>
      </w:r>
      <w:r w:rsidR="007B4B09" w:rsidRPr="006F0F22">
        <w:rPr>
          <w:sz w:val="22"/>
          <w:szCs w:val="22"/>
          <w:lang w:val="en-GB"/>
        </w:rPr>
        <w:t>Dulombi and Boe NPs and three related corridors</w:t>
      </w:r>
      <w:r w:rsidR="00AE1166" w:rsidRPr="006F0F22">
        <w:rPr>
          <w:sz w:val="22"/>
          <w:szCs w:val="22"/>
          <w:lang w:val="en-GB"/>
        </w:rPr>
        <w:t xml:space="preserve">. While </w:t>
      </w:r>
      <w:r w:rsidR="0052252D" w:rsidRPr="006F0F22">
        <w:rPr>
          <w:sz w:val="22"/>
          <w:szCs w:val="22"/>
          <w:lang w:val="en-GB"/>
        </w:rPr>
        <w:t xml:space="preserve">this project </w:t>
      </w:r>
      <w:r w:rsidR="00A40DB0" w:rsidRPr="006F0F22">
        <w:rPr>
          <w:sz w:val="22"/>
          <w:szCs w:val="22"/>
          <w:lang w:val="en-GB"/>
        </w:rPr>
        <w:t xml:space="preserve">will end in 2016 and </w:t>
      </w:r>
      <w:r w:rsidR="007B4B09" w:rsidRPr="006F0F22">
        <w:rPr>
          <w:sz w:val="22"/>
          <w:szCs w:val="22"/>
          <w:lang w:val="en-GB"/>
        </w:rPr>
        <w:t xml:space="preserve">does </w:t>
      </w:r>
      <w:r w:rsidR="00C634E7" w:rsidRPr="006F0F22">
        <w:rPr>
          <w:sz w:val="22"/>
          <w:szCs w:val="22"/>
          <w:lang w:val="en-GB"/>
        </w:rPr>
        <w:t xml:space="preserve">not include Cantanhez NP </w:t>
      </w:r>
      <w:r w:rsidR="00A40DB0" w:rsidRPr="006F0F22">
        <w:rPr>
          <w:sz w:val="22"/>
          <w:szCs w:val="22"/>
          <w:lang w:val="en-GB"/>
        </w:rPr>
        <w:t xml:space="preserve">(which </w:t>
      </w:r>
      <w:r w:rsidR="00AE1166" w:rsidRPr="006F0F22">
        <w:rPr>
          <w:sz w:val="22"/>
          <w:szCs w:val="22"/>
          <w:lang w:val="en-GB"/>
        </w:rPr>
        <w:t xml:space="preserve">also </w:t>
      </w:r>
      <w:r w:rsidR="003F1981" w:rsidRPr="006F0F22">
        <w:rPr>
          <w:sz w:val="22"/>
          <w:szCs w:val="22"/>
          <w:lang w:val="en-GB"/>
        </w:rPr>
        <w:t xml:space="preserve">has been </w:t>
      </w:r>
      <w:r w:rsidR="00A40DB0" w:rsidRPr="006F0F22">
        <w:rPr>
          <w:sz w:val="22"/>
          <w:szCs w:val="22"/>
          <w:lang w:val="en-GB"/>
        </w:rPr>
        <w:t xml:space="preserve">almost entirely </w:t>
      </w:r>
      <w:r w:rsidR="00C634E7" w:rsidRPr="006F0F22">
        <w:rPr>
          <w:sz w:val="22"/>
          <w:szCs w:val="22"/>
          <w:lang w:val="en-GB"/>
        </w:rPr>
        <w:t>excluded from</w:t>
      </w:r>
      <w:r w:rsidR="00C634E7" w:rsidRPr="00EE76D6">
        <w:rPr>
          <w:sz w:val="22"/>
          <w:szCs w:val="22"/>
          <w:lang w:val="en-GB"/>
        </w:rPr>
        <w:t xml:space="preserve"> marine and coastal </w:t>
      </w:r>
      <w:r w:rsidR="00A40DB0" w:rsidRPr="00EE76D6">
        <w:rPr>
          <w:sz w:val="22"/>
          <w:szCs w:val="22"/>
          <w:lang w:val="en-GB"/>
        </w:rPr>
        <w:t xml:space="preserve">PA/biodiversity </w:t>
      </w:r>
      <w:r w:rsidR="00C634E7" w:rsidRPr="00EE76D6">
        <w:rPr>
          <w:sz w:val="22"/>
          <w:szCs w:val="22"/>
          <w:lang w:val="en-GB"/>
        </w:rPr>
        <w:t>project</w:t>
      </w:r>
      <w:r w:rsidR="000E4888" w:rsidRPr="00EE76D6">
        <w:rPr>
          <w:sz w:val="22"/>
          <w:szCs w:val="22"/>
          <w:lang w:val="en-GB"/>
        </w:rPr>
        <w:t>s</w:t>
      </w:r>
      <w:r w:rsidR="00A40DB0" w:rsidRPr="00EE76D6">
        <w:rPr>
          <w:sz w:val="22"/>
          <w:szCs w:val="22"/>
          <w:lang w:val="en-GB"/>
        </w:rPr>
        <w:t>)</w:t>
      </w:r>
      <w:r w:rsidR="00AE1166" w:rsidRPr="00EE76D6">
        <w:rPr>
          <w:sz w:val="22"/>
          <w:szCs w:val="22"/>
          <w:lang w:val="en-GB"/>
        </w:rPr>
        <w:t xml:space="preserve">, </w:t>
      </w:r>
      <w:r w:rsidR="00C634E7" w:rsidRPr="00EE76D6">
        <w:rPr>
          <w:sz w:val="22"/>
          <w:szCs w:val="22"/>
          <w:lang w:val="en-GB"/>
        </w:rPr>
        <w:t xml:space="preserve">it </w:t>
      </w:r>
      <w:r w:rsidR="006C5D7D" w:rsidRPr="00EE76D6">
        <w:rPr>
          <w:sz w:val="22"/>
          <w:szCs w:val="22"/>
          <w:lang w:val="en-GB"/>
        </w:rPr>
        <w:t xml:space="preserve">is </w:t>
      </w:r>
      <w:r w:rsidR="00D17E12" w:rsidRPr="00EE76D6">
        <w:rPr>
          <w:sz w:val="22"/>
          <w:szCs w:val="22"/>
          <w:lang w:val="en-GB"/>
        </w:rPr>
        <w:t>build</w:t>
      </w:r>
      <w:r w:rsidR="006C5D7D" w:rsidRPr="00EE76D6">
        <w:rPr>
          <w:sz w:val="22"/>
          <w:szCs w:val="22"/>
          <w:lang w:val="en-GB"/>
        </w:rPr>
        <w:t>ing</w:t>
      </w:r>
      <w:r w:rsidR="00D17E12" w:rsidRPr="00EE76D6">
        <w:rPr>
          <w:sz w:val="22"/>
          <w:szCs w:val="22"/>
          <w:lang w:val="en-GB"/>
        </w:rPr>
        <w:t xml:space="preserve"> experience </w:t>
      </w:r>
      <w:r w:rsidR="00C634E7" w:rsidRPr="00EE76D6">
        <w:rPr>
          <w:sz w:val="22"/>
          <w:szCs w:val="22"/>
          <w:lang w:val="en-GB"/>
        </w:rPr>
        <w:t xml:space="preserve">within IBAP </w:t>
      </w:r>
      <w:r w:rsidR="00D17E12" w:rsidRPr="00EE76D6">
        <w:rPr>
          <w:sz w:val="22"/>
          <w:szCs w:val="22"/>
          <w:lang w:val="en-GB"/>
        </w:rPr>
        <w:t xml:space="preserve">on the </w:t>
      </w:r>
      <w:r w:rsidR="00C634E7" w:rsidRPr="00EE76D6">
        <w:rPr>
          <w:sz w:val="22"/>
          <w:szCs w:val="22"/>
          <w:lang w:val="en-GB"/>
        </w:rPr>
        <w:t>management of forest PAs</w:t>
      </w:r>
      <w:r w:rsidR="00354E08" w:rsidRPr="00EE76D6">
        <w:rPr>
          <w:sz w:val="22"/>
          <w:szCs w:val="22"/>
          <w:lang w:val="en-GB"/>
        </w:rPr>
        <w:t xml:space="preserve"> and some lessons on </w:t>
      </w:r>
      <w:r w:rsidR="00BD6C91" w:rsidRPr="00EE76D6">
        <w:rPr>
          <w:sz w:val="22"/>
          <w:szCs w:val="22"/>
          <w:lang w:val="en-GB"/>
        </w:rPr>
        <w:t>forestry and agro-forestry, fire management</w:t>
      </w:r>
      <w:r w:rsidR="00691D65" w:rsidRPr="00EE76D6">
        <w:rPr>
          <w:sz w:val="22"/>
          <w:szCs w:val="22"/>
          <w:lang w:val="en-GB"/>
        </w:rPr>
        <w:t xml:space="preserve"> and</w:t>
      </w:r>
      <w:r w:rsidR="00BD6C91" w:rsidRPr="00EE76D6">
        <w:rPr>
          <w:sz w:val="22"/>
          <w:szCs w:val="22"/>
          <w:lang w:val="en-GB"/>
        </w:rPr>
        <w:t xml:space="preserve"> landscape zoning</w:t>
      </w:r>
      <w:r w:rsidR="00C634E7" w:rsidRPr="00EE76D6">
        <w:rPr>
          <w:sz w:val="22"/>
          <w:szCs w:val="22"/>
          <w:lang w:val="en-GB"/>
        </w:rPr>
        <w:t>.</w:t>
      </w:r>
      <w:r w:rsidR="00F10721" w:rsidRPr="00EE76D6">
        <w:rPr>
          <w:sz w:val="22"/>
          <w:szCs w:val="22"/>
          <w:lang w:val="en-GB"/>
        </w:rPr>
        <w:t xml:space="preserve"> </w:t>
      </w:r>
      <w:r w:rsidR="00D17E12" w:rsidRPr="00EE76D6">
        <w:rPr>
          <w:sz w:val="22"/>
          <w:szCs w:val="22"/>
          <w:lang w:val="en-GB"/>
        </w:rPr>
        <w:t>The EU-</w:t>
      </w:r>
      <w:r w:rsidR="002C4B0E" w:rsidRPr="00EE76D6">
        <w:rPr>
          <w:sz w:val="22"/>
          <w:szCs w:val="22"/>
          <w:lang w:val="en-GB"/>
        </w:rPr>
        <w:t xml:space="preserve">funded </w:t>
      </w:r>
      <w:r w:rsidR="00D17E12" w:rsidRPr="00EE76D6">
        <w:rPr>
          <w:sz w:val="22"/>
          <w:szCs w:val="22"/>
          <w:lang w:val="en-GB"/>
        </w:rPr>
        <w:t xml:space="preserve">MONTE </w:t>
      </w:r>
      <w:r w:rsidR="002C4B0E" w:rsidRPr="00EE76D6">
        <w:rPr>
          <w:sz w:val="22"/>
          <w:szCs w:val="22"/>
          <w:lang w:val="en-GB"/>
        </w:rPr>
        <w:t xml:space="preserve">project </w:t>
      </w:r>
      <w:r w:rsidR="003539A5" w:rsidRPr="00EE76D6">
        <w:rPr>
          <w:sz w:val="22"/>
          <w:szCs w:val="22"/>
          <w:lang w:val="en-GB"/>
        </w:rPr>
        <w:t>(budget $3,10</w:t>
      </w:r>
      <w:r w:rsidR="00913086" w:rsidRPr="00EE76D6">
        <w:rPr>
          <w:sz w:val="22"/>
          <w:szCs w:val="22"/>
          <w:lang w:val="en-GB"/>
        </w:rPr>
        <w:t xml:space="preserve">0,000) </w:t>
      </w:r>
      <w:r w:rsidR="00C634E7" w:rsidRPr="00EE76D6">
        <w:rPr>
          <w:sz w:val="22"/>
          <w:szCs w:val="22"/>
          <w:lang w:val="en-GB"/>
        </w:rPr>
        <w:t>will</w:t>
      </w:r>
      <w:r w:rsidR="002C4B0E" w:rsidRPr="00EE76D6">
        <w:rPr>
          <w:sz w:val="22"/>
          <w:szCs w:val="22"/>
          <w:lang w:val="en-GB"/>
        </w:rPr>
        <w:t xml:space="preserve"> support the sustainable management of forest resources in Cacheu NP </w:t>
      </w:r>
      <w:r w:rsidR="00913086" w:rsidRPr="00EE76D6">
        <w:rPr>
          <w:sz w:val="22"/>
          <w:szCs w:val="22"/>
          <w:lang w:val="en-GB"/>
        </w:rPr>
        <w:t xml:space="preserve">in the north-west, </w:t>
      </w:r>
      <w:r w:rsidR="00C634E7" w:rsidRPr="00EE76D6">
        <w:rPr>
          <w:sz w:val="22"/>
          <w:szCs w:val="22"/>
          <w:lang w:val="en-GB"/>
        </w:rPr>
        <w:t xml:space="preserve">which could provide lessons </w:t>
      </w:r>
      <w:r w:rsidR="00BD6C91" w:rsidRPr="00EE76D6">
        <w:rPr>
          <w:sz w:val="22"/>
          <w:szCs w:val="22"/>
          <w:lang w:val="en-GB"/>
        </w:rPr>
        <w:t>on PA functions that are relevant for the effective management of terrestrial PAs</w:t>
      </w:r>
      <w:r w:rsidR="003539A5" w:rsidRPr="00EE76D6">
        <w:rPr>
          <w:sz w:val="22"/>
          <w:szCs w:val="22"/>
          <w:lang w:val="en-GB"/>
        </w:rPr>
        <w:t xml:space="preserve">; in doing so it will also work on systemic </w:t>
      </w:r>
      <w:r w:rsidR="00357D50" w:rsidRPr="00EE76D6">
        <w:rPr>
          <w:sz w:val="22"/>
          <w:szCs w:val="22"/>
          <w:lang w:val="en-GB"/>
        </w:rPr>
        <w:t xml:space="preserve">forest </w:t>
      </w:r>
      <w:r w:rsidR="003539A5" w:rsidRPr="00EE76D6">
        <w:rPr>
          <w:sz w:val="22"/>
          <w:szCs w:val="22"/>
          <w:lang w:val="en-GB"/>
        </w:rPr>
        <w:t>management issues at the national level</w:t>
      </w:r>
      <w:r w:rsidR="00D17E12" w:rsidRPr="00EE76D6">
        <w:rPr>
          <w:sz w:val="22"/>
          <w:szCs w:val="22"/>
          <w:lang w:val="en-GB"/>
        </w:rPr>
        <w:t xml:space="preserve"> that </w:t>
      </w:r>
      <w:r w:rsidR="003539A5" w:rsidRPr="00EE76D6">
        <w:rPr>
          <w:sz w:val="22"/>
          <w:szCs w:val="22"/>
          <w:lang w:val="en-GB"/>
        </w:rPr>
        <w:t xml:space="preserve">will immediately </w:t>
      </w:r>
      <w:r w:rsidR="00D17E12" w:rsidRPr="00EE76D6">
        <w:rPr>
          <w:sz w:val="22"/>
          <w:szCs w:val="22"/>
          <w:lang w:val="en-GB"/>
        </w:rPr>
        <w:t>link</w:t>
      </w:r>
      <w:r w:rsidR="003539A5" w:rsidRPr="00EE76D6">
        <w:rPr>
          <w:sz w:val="22"/>
          <w:szCs w:val="22"/>
          <w:lang w:val="en-GB"/>
        </w:rPr>
        <w:t xml:space="preserve"> to the here-proposed project</w:t>
      </w:r>
      <w:r w:rsidR="00BD6C91" w:rsidRPr="00EE76D6">
        <w:rPr>
          <w:sz w:val="22"/>
          <w:szCs w:val="22"/>
          <w:lang w:val="en-GB"/>
        </w:rPr>
        <w:t>.</w:t>
      </w:r>
      <w:r w:rsidR="002C4B0E" w:rsidRPr="00EE76D6">
        <w:rPr>
          <w:sz w:val="22"/>
          <w:szCs w:val="22"/>
          <w:lang w:val="en-GB"/>
        </w:rPr>
        <w:t xml:space="preserve"> A further contr</w:t>
      </w:r>
      <w:r w:rsidR="00354E08" w:rsidRPr="00EE76D6">
        <w:rPr>
          <w:sz w:val="22"/>
          <w:szCs w:val="22"/>
          <w:lang w:val="en-GB"/>
        </w:rPr>
        <w:t xml:space="preserve">ibution to baseline investment </w:t>
      </w:r>
      <w:r w:rsidR="002C4B0E" w:rsidRPr="00EE76D6">
        <w:rPr>
          <w:sz w:val="22"/>
          <w:szCs w:val="22"/>
          <w:lang w:val="en-GB"/>
        </w:rPr>
        <w:t xml:space="preserve">is given by the MAVA/IUCN project promoting sustainable tourism in Guinea-Bissau with a focus on </w:t>
      </w:r>
      <w:r w:rsidR="006C5D7D" w:rsidRPr="00EE76D6">
        <w:rPr>
          <w:sz w:val="22"/>
          <w:szCs w:val="22"/>
          <w:lang w:val="en-GB"/>
        </w:rPr>
        <w:t>PAs</w:t>
      </w:r>
      <w:r w:rsidR="002C4B0E" w:rsidRPr="00EE76D6">
        <w:rPr>
          <w:sz w:val="22"/>
          <w:szCs w:val="22"/>
          <w:lang w:val="en-GB"/>
        </w:rPr>
        <w:t xml:space="preserve"> </w:t>
      </w:r>
      <w:r w:rsidR="00024E6A" w:rsidRPr="00EE76D6">
        <w:rPr>
          <w:sz w:val="22"/>
          <w:szCs w:val="22"/>
          <w:lang w:val="en-GB"/>
        </w:rPr>
        <w:t xml:space="preserve">– this project includes a </w:t>
      </w:r>
      <w:r w:rsidR="00357D50" w:rsidRPr="00EE76D6">
        <w:rPr>
          <w:sz w:val="22"/>
          <w:szCs w:val="22"/>
          <w:lang w:val="en-GB"/>
        </w:rPr>
        <w:t xml:space="preserve">small </w:t>
      </w:r>
      <w:r w:rsidR="00AA447D" w:rsidRPr="00EE76D6">
        <w:rPr>
          <w:sz w:val="22"/>
          <w:szCs w:val="22"/>
          <w:lang w:val="en-GB"/>
        </w:rPr>
        <w:t xml:space="preserve">allocation </w:t>
      </w:r>
      <w:r w:rsidR="006C5D7D" w:rsidRPr="00EE76D6">
        <w:rPr>
          <w:sz w:val="22"/>
          <w:szCs w:val="22"/>
          <w:lang w:val="en-GB"/>
        </w:rPr>
        <w:t xml:space="preserve">of </w:t>
      </w:r>
      <w:r w:rsidR="00357D50" w:rsidRPr="00EE76D6">
        <w:rPr>
          <w:sz w:val="22"/>
          <w:szCs w:val="22"/>
          <w:lang w:val="en-GB"/>
        </w:rPr>
        <w:t>c. $50,000</w:t>
      </w:r>
      <w:r w:rsidR="006C5D7D" w:rsidRPr="00EE76D6">
        <w:rPr>
          <w:sz w:val="22"/>
          <w:szCs w:val="22"/>
          <w:lang w:val="en-GB"/>
        </w:rPr>
        <w:t xml:space="preserve"> </w:t>
      </w:r>
      <w:r w:rsidR="00AA447D" w:rsidRPr="00EE76D6">
        <w:rPr>
          <w:sz w:val="22"/>
          <w:szCs w:val="22"/>
          <w:lang w:val="en-GB"/>
        </w:rPr>
        <w:t xml:space="preserve">towards </w:t>
      </w:r>
      <w:r w:rsidR="00357D50" w:rsidRPr="00EE76D6">
        <w:rPr>
          <w:sz w:val="22"/>
          <w:szCs w:val="22"/>
          <w:lang w:val="en-GB"/>
        </w:rPr>
        <w:t>Cantanhez NP</w:t>
      </w:r>
      <w:r w:rsidR="00024E6A" w:rsidRPr="00EE76D6">
        <w:rPr>
          <w:sz w:val="22"/>
          <w:szCs w:val="22"/>
          <w:lang w:val="en-GB"/>
        </w:rPr>
        <w:t xml:space="preserve"> of its total budget of $77</w:t>
      </w:r>
      <w:r w:rsidR="00024E6A" w:rsidRPr="00D92671">
        <w:rPr>
          <w:sz w:val="22"/>
          <w:szCs w:val="22"/>
          <w:lang w:val="en-GB"/>
        </w:rPr>
        <w:t>0,000</w:t>
      </w:r>
      <w:r w:rsidR="00D17E12" w:rsidRPr="00D92671">
        <w:rPr>
          <w:sz w:val="22"/>
          <w:szCs w:val="22"/>
          <w:lang w:val="en-GB"/>
        </w:rPr>
        <w:t xml:space="preserve">. A </w:t>
      </w:r>
      <w:r w:rsidR="00024E6A" w:rsidRPr="00D92671">
        <w:rPr>
          <w:sz w:val="22"/>
          <w:szCs w:val="22"/>
          <w:lang w:val="en-GB"/>
        </w:rPr>
        <w:t xml:space="preserve">further </w:t>
      </w:r>
      <w:r w:rsidR="00D17E12" w:rsidRPr="00D92671">
        <w:rPr>
          <w:sz w:val="22"/>
          <w:szCs w:val="22"/>
          <w:lang w:val="en-GB"/>
        </w:rPr>
        <w:t>key baseline investment on which the present project can build</w:t>
      </w:r>
      <w:r w:rsidR="00024E6A" w:rsidRPr="00D92671">
        <w:rPr>
          <w:sz w:val="22"/>
          <w:szCs w:val="22"/>
          <w:lang w:val="en-GB"/>
        </w:rPr>
        <w:t>,</w:t>
      </w:r>
      <w:r w:rsidR="00D17E12" w:rsidRPr="00D92671">
        <w:rPr>
          <w:sz w:val="22"/>
          <w:szCs w:val="22"/>
          <w:lang w:val="en-GB"/>
        </w:rPr>
        <w:t xml:space="preserve"> is </w:t>
      </w:r>
      <w:r w:rsidR="00BA0B72" w:rsidRPr="00D92671">
        <w:rPr>
          <w:sz w:val="22"/>
          <w:szCs w:val="22"/>
          <w:lang w:val="en-GB"/>
        </w:rPr>
        <w:t>work of the NGO</w:t>
      </w:r>
      <w:r w:rsidR="000E7F05" w:rsidRPr="00D92671">
        <w:rPr>
          <w:sz w:val="22"/>
          <w:szCs w:val="22"/>
          <w:lang w:val="en-GB"/>
        </w:rPr>
        <w:t>s</w:t>
      </w:r>
      <w:r w:rsidR="00BA0B72" w:rsidRPr="00D92671">
        <w:rPr>
          <w:sz w:val="22"/>
          <w:szCs w:val="22"/>
          <w:lang w:val="en-GB"/>
        </w:rPr>
        <w:t xml:space="preserve"> AD </w:t>
      </w:r>
      <w:r w:rsidR="000E7F05" w:rsidRPr="00D92671">
        <w:rPr>
          <w:sz w:val="22"/>
          <w:szCs w:val="22"/>
          <w:lang w:val="en-GB"/>
        </w:rPr>
        <w:t>and FIAL in the Cantanhez area, which have</w:t>
      </w:r>
      <w:r w:rsidR="00BA0B72" w:rsidRPr="00D92671">
        <w:rPr>
          <w:sz w:val="22"/>
          <w:szCs w:val="22"/>
          <w:lang w:val="en-GB"/>
        </w:rPr>
        <w:t xml:space="preserve"> engaged local communities in biodiversity conservation and livelihood activities</w:t>
      </w:r>
      <w:r w:rsidR="0055756A" w:rsidRPr="00D92671">
        <w:rPr>
          <w:sz w:val="22"/>
          <w:szCs w:val="22"/>
          <w:lang w:val="en-GB"/>
        </w:rPr>
        <w:t xml:space="preserve"> (including small-scale investments in basic socio-economic infrastructure and productive activities linked to conservation activities)</w:t>
      </w:r>
      <w:r w:rsidR="00BA0B72" w:rsidRPr="00D92671">
        <w:rPr>
          <w:sz w:val="22"/>
          <w:szCs w:val="22"/>
          <w:lang w:val="en-GB"/>
        </w:rPr>
        <w:t xml:space="preserve">, with </w:t>
      </w:r>
      <w:r w:rsidR="000E7F05" w:rsidRPr="00D92671">
        <w:rPr>
          <w:sz w:val="22"/>
          <w:szCs w:val="22"/>
          <w:lang w:val="en-GB"/>
        </w:rPr>
        <w:t xml:space="preserve">at least </w:t>
      </w:r>
      <w:r w:rsidR="00BA0B72" w:rsidRPr="00D92671">
        <w:rPr>
          <w:sz w:val="22"/>
          <w:szCs w:val="22"/>
          <w:lang w:val="en-GB"/>
        </w:rPr>
        <w:t>$550,000 of EU funding between 2010 and 2013</w:t>
      </w:r>
      <w:r w:rsidR="0055756A" w:rsidRPr="00D92671">
        <w:rPr>
          <w:sz w:val="22"/>
          <w:szCs w:val="22"/>
          <w:lang w:val="en-GB"/>
        </w:rPr>
        <w:t xml:space="preserve"> for AD</w:t>
      </w:r>
      <w:r w:rsidR="00BA0B72" w:rsidRPr="00D92671">
        <w:rPr>
          <w:sz w:val="22"/>
          <w:szCs w:val="22"/>
          <w:lang w:val="en-GB"/>
        </w:rPr>
        <w:t xml:space="preserve">; </w:t>
      </w:r>
      <w:r w:rsidR="005F20C1" w:rsidRPr="00D92671">
        <w:rPr>
          <w:sz w:val="22"/>
          <w:szCs w:val="22"/>
          <w:lang w:val="en-GB"/>
        </w:rPr>
        <w:t xml:space="preserve">these activities are a promising basis but have not </w:t>
      </w:r>
      <w:r w:rsidR="00BA0B72" w:rsidRPr="00D92671">
        <w:rPr>
          <w:sz w:val="22"/>
          <w:szCs w:val="22"/>
          <w:lang w:val="en-GB"/>
        </w:rPr>
        <w:t xml:space="preserve">involved IBAP and </w:t>
      </w:r>
      <w:r w:rsidR="005F20C1" w:rsidRPr="00D92671">
        <w:rPr>
          <w:sz w:val="22"/>
          <w:szCs w:val="22"/>
          <w:lang w:val="en-GB"/>
        </w:rPr>
        <w:t>must be upgraded to stem the mounting exploitation pressures in the PA and adjacent areas.</w:t>
      </w:r>
    </w:p>
    <w:p w:rsidR="00233BBF" w:rsidRPr="00D92671" w:rsidRDefault="003415B9" w:rsidP="00EA0B27">
      <w:pPr>
        <w:pStyle w:val="Footer"/>
        <w:tabs>
          <w:tab w:val="clear" w:pos="4320"/>
          <w:tab w:val="clear" w:pos="8640"/>
        </w:tabs>
        <w:ind w:left="0"/>
        <w:contextualSpacing/>
        <w:jc w:val="both"/>
        <w:rPr>
          <w:sz w:val="22"/>
          <w:szCs w:val="22"/>
          <w:lang w:val="en-GB"/>
        </w:rPr>
      </w:pPr>
      <w:r w:rsidRPr="00D92671">
        <w:rPr>
          <w:sz w:val="22"/>
          <w:szCs w:val="22"/>
          <w:lang w:val="en-GB"/>
        </w:rPr>
        <w:t xml:space="preserve"> </w:t>
      </w:r>
    </w:p>
    <w:p w:rsidR="00233BBF" w:rsidRPr="00EE76D6" w:rsidRDefault="00233BBF" w:rsidP="0098031A">
      <w:pPr>
        <w:pStyle w:val="Footer"/>
        <w:numPr>
          <w:ilvl w:val="0"/>
          <w:numId w:val="24"/>
        </w:numPr>
        <w:tabs>
          <w:tab w:val="clear" w:pos="4320"/>
          <w:tab w:val="clear" w:pos="8640"/>
        </w:tabs>
        <w:ind w:left="0" w:firstLine="0"/>
        <w:contextualSpacing/>
        <w:jc w:val="both"/>
        <w:rPr>
          <w:sz w:val="22"/>
          <w:szCs w:val="22"/>
          <w:lang w:val="en-GB"/>
        </w:rPr>
      </w:pPr>
      <w:r w:rsidRPr="00EE76D6">
        <w:rPr>
          <w:sz w:val="22"/>
          <w:szCs w:val="22"/>
          <w:lang w:val="en-GB"/>
        </w:rPr>
        <w:t>Over the four year period under consideration, the DGFF – the 2</w:t>
      </w:r>
      <w:r w:rsidRPr="00EE76D6">
        <w:rPr>
          <w:sz w:val="22"/>
          <w:szCs w:val="22"/>
          <w:vertAlign w:val="superscript"/>
          <w:lang w:val="en-GB"/>
        </w:rPr>
        <w:t>nd</w:t>
      </w:r>
      <w:r w:rsidRPr="00EE76D6">
        <w:rPr>
          <w:sz w:val="22"/>
          <w:szCs w:val="22"/>
          <w:lang w:val="en-GB"/>
        </w:rPr>
        <w:t xml:space="preserve"> government executing agency of the here-proposed project – has an estimated budget of $2,800,000 (for salaries, fuel and lubricants and training) of which an estimated 50% and 20% will be earmarked for operational and forest management costs in the Forest Belt region and the areas around Cantanhez NP, respectively. Enhanced coordination between DGFF and IBAP at the systemic level, and at the site-specific level piloted under the here-proposed project in Cantanhez NP, therefore provides important opportunities for: (1) reducing pressures on biodiversity assets inside and adjacent to PAs – through improved management of forest resources and wildlife (e.g. with regard to the issuance and enforcement of logging and hunting licenses/concessions); and (2) cost-efficiency</w:t>
      </w:r>
      <w:r w:rsidR="005756A9">
        <w:rPr>
          <w:sz w:val="22"/>
          <w:szCs w:val="22"/>
          <w:lang w:val="en-GB"/>
        </w:rPr>
        <w:t>.</w:t>
      </w:r>
    </w:p>
    <w:p w:rsidR="00233BBF" w:rsidRPr="00EE76D6" w:rsidRDefault="00233BBF" w:rsidP="00F36460">
      <w:pPr>
        <w:pStyle w:val="Footer"/>
        <w:tabs>
          <w:tab w:val="clear" w:pos="4320"/>
          <w:tab w:val="clear" w:pos="8640"/>
        </w:tabs>
        <w:ind w:left="0"/>
        <w:contextualSpacing/>
        <w:jc w:val="both"/>
        <w:rPr>
          <w:sz w:val="22"/>
          <w:szCs w:val="22"/>
          <w:lang w:val="en-GB"/>
        </w:rPr>
      </w:pPr>
    </w:p>
    <w:p w:rsidR="00AD01F8" w:rsidRPr="00EE76D6" w:rsidRDefault="00F36460" w:rsidP="00C66589">
      <w:pPr>
        <w:pStyle w:val="Footer"/>
        <w:numPr>
          <w:ilvl w:val="0"/>
          <w:numId w:val="24"/>
        </w:numPr>
        <w:tabs>
          <w:tab w:val="clear" w:pos="4320"/>
          <w:tab w:val="clear" w:pos="8640"/>
        </w:tabs>
        <w:ind w:left="0" w:firstLine="0"/>
        <w:contextualSpacing/>
        <w:jc w:val="both"/>
        <w:rPr>
          <w:sz w:val="22"/>
          <w:szCs w:val="22"/>
          <w:lang w:val="en-GB"/>
        </w:rPr>
      </w:pPr>
      <w:r w:rsidRPr="00EE76D6">
        <w:rPr>
          <w:sz w:val="22"/>
          <w:szCs w:val="22"/>
          <w:lang w:val="en-GB"/>
        </w:rPr>
        <w:t xml:space="preserve">With a view to </w:t>
      </w:r>
      <w:r w:rsidRPr="00EE76D6">
        <w:rPr>
          <w:sz w:val="22"/>
          <w:szCs w:val="22"/>
          <w:u w:val="single"/>
          <w:lang w:val="en-GB"/>
        </w:rPr>
        <w:t>increasing the financial sustainability of the national PA system</w:t>
      </w:r>
      <w:r w:rsidRPr="00EE76D6">
        <w:rPr>
          <w:sz w:val="22"/>
          <w:szCs w:val="22"/>
          <w:lang w:val="en-GB"/>
        </w:rPr>
        <w:t xml:space="preserve">, the above-mentioned WB/IDA and WAMER projects will begin operationalising the BioGuinea Foundation </w:t>
      </w:r>
      <w:r w:rsidRPr="007325CB">
        <w:rPr>
          <w:sz w:val="22"/>
          <w:szCs w:val="22"/>
          <w:lang w:val="en-GB"/>
        </w:rPr>
        <w:t xml:space="preserve">through the recruitment of key staff, the establishment of financial systems and the initiation of fund-raising activities; the present project will closely link with these two initiatives, and their related respective contributions of $390,000 and $300,000 will be critical co-finance for securing the institutional background against which capitalisation of the </w:t>
      </w:r>
      <w:r w:rsidRPr="006F0F22">
        <w:rPr>
          <w:sz w:val="22"/>
          <w:szCs w:val="22"/>
          <w:lang w:val="en-GB"/>
        </w:rPr>
        <w:t xml:space="preserve">FBG can take place. </w:t>
      </w:r>
      <w:r w:rsidRPr="006F0F22">
        <w:rPr>
          <w:sz w:val="22"/>
          <w:szCs w:val="22"/>
          <w:u w:val="single"/>
          <w:lang w:val="en-GB"/>
        </w:rPr>
        <w:t>These are the only anticipated dedicated contributions for increasing the financial sustainability of the national</w:t>
      </w:r>
      <w:r w:rsidRPr="00EE76D6">
        <w:rPr>
          <w:sz w:val="22"/>
          <w:szCs w:val="22"/>
          <w:u w:val="single"/>
          <w:lang w:val="en-GB"/>
        </w:rPr>
        <w:t xml:space="preserve"> PA system</w:t>
      </w:r>
      <w:r w:rsidR="00AA1CBF" w:rsidRPr="00EE76D6">
        <w:rPr>
          <w:sz w:val="22"/>
          <w:szCs w:val="22"/>
          <w:lang w:val="en-GB"/>
        </w:rPr>
        <w:t>.</w:t>
      </w:r>
      <w:r w:rsidR="00C66589" w:rsidRPr="00EE76D6">
        <w:rPr>
          <w:sz w:val="22"/>
          <w:szCs w:val="22"/>
          <w:lang w:val="en-GB"/>
        </w:rPr>
        <w:t xml:space="preserve"> </w:t>
      </w:r>
      <w:r w:rsidR="00AD01F8" w:rsidRPr="00EE76D6">
        <w:rPr>
          <w:sz w:val="22"/>
          <w:szCs w:val="22"/>
          <w:lang w:val="en-GB"/>
        </w:rPr>
        <w:t xml:space="preserve">The </w:t>
      </w:r>
      <w:r w:rsidR="00C60D5D" w:rsidRPr="00EE76D6">
        <w:rPr>
          <w:sz w:val="22"/>
          <w:szCs w:val="22"/>
          <w:lang w:val="en-GB"/>
        </w:rPr>
        <w:t xml:space="preserve">resulting </w:t>
      </w:r>
      <w:r w:rsidR="00AD01F8" w:rsidRPr="00EE76D6">
        <w:rPr>
          <w:sz w:val="22"/>
          <w:szCs w:val="22"/>
          <w:lang w:val="en-GB"/>
        </w:rPr>
        <w:t xml:space="preserve">risk is that the significant gains accrued over the last decade </w:t>
      </w:r>
      <w:r w:rsidR="00C60D5D" w:rsidRPr="00EE76D6">
        <w:rPr>
          <w:sz w:val="22"/>
          <w:szCs w:val="22"/>
          <w:lang w:val="en-GB"/>
        </w:rPr>
        <w:t>w</w:t>
      </w:r>
      <w:r w:rsidR="00AD01F8" w:rsidRPr="00EE76D6">
        <w:rPr>
          <w:sz w:val="22"/>
          <w:szCs w:val="22"/>
          <w:lang w:val="en-GB"/>
        </w:rPr>
        <w:t>ould be reversed. In addition, the terrestrial portion of the PA system would continue to lag behind in terms of representativeness, connectivity and overall management effectiveness. The urgent expansion of the terrestrial PA estate would not progress further, leaving especially Cantanhez NP and associated buffer zones and ecological corridors unprotected and susceptible to a variety of threats. Finally, under the business as usual scenario, funds and efforts would not be sufficient to address current gaps in the institutional framework, particularly the emergence of a functional collaborative framework involving IBAP, DGFF and other key stakeholders aimed at enhancing the management of forest-related biodiversity in Guinea-Bissau.</w:t>
      </w:r>
    </w:p>
    <w:p w:rsidR="00B7747D" w:rsidRDefault="00B7747D" w:rsidP="00A03B22">
      <w:pPr>
        <w:pStyle w:val="Footer"/>
        <w:tabs>
          <w:tab w:val="left" w:pos="0"/>
          <w:tab w:val="left" w:pos="227"/>
          <w:tab w:val="left" w:pos="340"/>
          <w:tab w:val="left" w:pos="397"/>
          <w:tab w:val="left" w:pos="720"/>
        </w:tabs>
        <w:ind w:left="0"/>
        <w:contextualSpacing/>
        <w:jc w:val="both"/>
        <w:rPr>
          <w:b/>
          <w:color w:val="92D050"/>
          <w:sz w:val="22"/>
          <w:szCs w:val="22"/>
          <w:lang w:val="en-GB"/>
        </w:rPr>
      </w:pPr>
    </w:p>
    <w:p w:rsidR="00496B07" w:rsidRPr="00EE76D6" w:rsidRDefault="00EB2F0D" w:rsidP="00EB2F0D">
      <w:pPr>
        <w:pStyle w:val="Footer"/>
        <w:numPr>
          <w:ilvl w:val="0"/>
          <w:numId w:val="24"/>
        </w:numPr>
        <w:tabs>
          <w:tab w:val="clear" w:pos="4320"/>
          <w:tab w:val="clear" w:pos="8640"/>
        </w:tabs>
        <w:ind w:left="0" w:firstLine="0"/>
        <w:contextualSpacing/>
        <w:jc w:val="both"/>
        <w:rPr>
          <w:sz w:val="22"/>
          <w:szCs w:val="22"/>
          <w:lang w:val="en-GB"/>
        </w:rPr>
      </w:pPr>
      <w:r w:rsidRPr="00EE76D6">
        <w:rPr>
          <w:sz w:val="22"/>
          <w:szCs w:val="22"/>
          <w:lang w:val="en-GB"/>
        </w:rPr>
        <w:t xml:space="preserve">In conclusion, the country is set to benefit from a significant project baseline directed at the management of biodiversity and the national PA system in Guinea-Bissau. However, </w:t>
      </w:r>
      <w:r w:rsidRPr="00EE76D6">
        <w:rPr>
          <w:sz w:val="22"/>
          <w:szCs w:val="22"/>
          <w:u w:val="single"/>
          <w:lang w:val="en-GB"/>
        </w:rPr>
        <w:t>under the business-as-usual scenario baseline scenario</w:t>
      </w:r>
      <w:r w:rsidRPr="00EE76D6">
        <w:rPr>
          <w:sz w:val="22"/>
          <w:szCs w:val="22"/>
          <w:lang w:val="en-GB"/>
        </w:rPr>
        <w:t xml:space="preserve"> the country would remain almost exclusively reliant on such external project-based funding, which is generally unpredictable, insufficient and directed at particular sites or issues of donor interest – already some donors have expressed their hesitation to continue financing at the current level. </w:t>
      </w:r>
      <w:r w:rsidR="00B519DB" w:rsidRPr="00EE76D6">
        <w:rPr>
          <w:sz w:val="22"/>
          <w:szCs w:val="22"/>
          <w:u w:val="single"/>
          <w:lang w:val="en-GB"/>
        </w:rPr>
        <w:t xml:space="preserve">Under </w:t>
      </w:r>
      <w:r w:rsidR="00CD1DD1" w:rsidRPr="00EE76D6">
        <w:rPr>
          <w:sz w:val="22"/>
          <w:szCs w:val="22"/>
          <w:u w:val="single"/>
          <w:lang w:val="en-GB"/>
        </w:rPr>
        <w:t>the business-as-usual scenario</w:t>
      </w:r>
      <w:r w:rsidR="00B519DB" w:rsidRPr="00EE76D6">
        <w:rPr>
          <w:sz w:val="22"/>
          <w:szCs w:val="22"/>
          <w:u w:val="single"/>
          <w:lang w:val="en-GB"/>
        </w:rPr>
        <w:t xml:space="preserve">, </w:t>
      </w:r>
      <w:r w:rsidR="00496B07" w:rsidRPr="00EE76D6">
        <w:rPr>
          <w:sz w:val="22"/>
          <w:szCs w:val="22"/>
          <w:u w:val="single"/>
          <w:lang w:val="en-GB"/>
        </w:rPr>
        <w:t xml:space="preserve">there are no concrete perspectives for </w:t>
      </w:r>
      <w:r w:rsidR="00CD1DD1" w:rsidRPr="00EE76D6">
        <w:rPr>
          <w:sz w:val="22"/>
          <w:szCs w:val="22"/>
          <w:u w:val="single"/>
          <w:lang w:val="en-GB"/>
        </w:rPr>
        <w:t>leveraging</w:t>
      </w:r>
      <w:r w:rsidR="00496B07" w:rsidRPr="00EE76D6">
        <w:rPr>
          <w:sz w:val="22"/>
          <w:szCs w:val="22"/>
          <w:u w:val="single"/>
          <w:lang w:val="en-GB"/>
        </w:rPr>
        <w:t xml:space="preserve"> capital into </w:t>
      </w:r>
      <w:r w:rsidR="00496B07" w:rsidRPr="006F0F22">
        <w:rPr>
          <w:sz w:val="22"/>
          <w:szCs w:val="22"/>
          <w:u w:val="single"/>
          <w:lang w:val="en-GB"/>
        </w:rPr>
        <w:t xml:space="preserve">the </w:t>
      </w:r>
      <w:r w:rsidR="00A85DE2" w:rsidRPr="006F0F22">
        <w:rPr>
          <w:sz w:val="22"/>
          <w:szCs w:val="22"/>
          <w:u w:val="single"/>
          <w:lang w:val="en-GB"/>
        </w:rPr>
        <w:t>FBG</w:t>
      </w:r>
      <w:r w:rsidR="00496B07" w:rsidRPr="006F0F22">
        <w:rPr>
          <w:sz w:val="22"/>
          <w:szCs w:val="22"/>
          <w:u w:val="single"/>
          <w:lang w:val="en-GB"/>
        </w:rPr>
        <w:t xml:space="preserve"> </w:t>
      </w:r>
      <w:r w:rsidR="00BB299A" w:rsidRPr="006F0F22">
        <w:rPr>
          <w:sz w:val="22"/>
          <w:szCs w:val="22"/>
          <w:u w:val="single"/>
          <w:lang w:val="en-GB"/>
        </w:rPr>
        <w:t xml:space="preserve">endowment </w:t>
      </w:r>
      <w:r w:rsidR="00CD1DD1" w:rsidRPr="006F0F22">
        <w:rPr>
          <w:sz w:val="22"/>
          <w:szCs w:val="22"/>
          <w:u w:val="single"/>
          <w:lang w:val="en-GB"/>
        </w:rPr>
        <w:t xml:space="preserve">that would surpass the minimum threshold required for </w:t>
      </w:r>
      <w:r w:rsidR="00EE372F" w:rsidRPr="006F0F22">
        <w:rPr>
          <w:sz w:val="22"/>
          <w:szCs w:val="22"/>
          <w:u w:val="single"/>
          <w:lang w:val="en-GB"/>
        </w:rPr>
        <w:t xml:space="preserve">it </w:t>
      </w:r>
      <w:r w:rsidR="00CD1DD1" w:rsidRPr="006F0F22">
        <w:rPr>
          <w:sz w:val="22"/>
          <w:szCs w:val="22"/>
          <w:u w:val="single"/>
          <w:lang w:val="en-GB"/>
        </w:rPr>
        <w:t>to become operational and effective</w:t>
      </w:r>
      <w:r w:rsidR="00496B07" w:rsidRPr="006F0F22">
        <w:rPr>
          <w:sz w:val="22"/>
          <w:szCs w:val="22"/>
          <w:u w:val="single"/>
          <w:lang w:val="en-GB"/>
        </w:rPr>
        <w:t xml:space="preserve">, and </w:t>
      </w:r>
      <w:r w:rsidR="00CD1DD1" w:rsidRPr="006F0F22">
        <w:rPr>
          <w:sz w:val="22"/>
          <w:szCs w:val="22"/>
          <w:u w:val="single"/>
          <w:lang w:val="en-GB"/>
        </w:rPr>
        <w:t xml:space="preserve">there are </w:t>
      </w:r>
      <w:r w:rsidR="00496B07" w:rsidRPr="006F0F22">
        <w:rPr>
          <w:sz w:val="22"/>
          <w:szCs w:val="22"/>
          <w:u w:val="single"/>
          <w:lang w:val="en-GB"/>
        </w:rPr>
        <w:t>no other plans to operationalise other more innovative revenue sources</w:t>
      </w:r>
      <w:r w:rsidR="00CD1DD1" w:rsidRPr="006F0F22">
        <w:rPr>
          <w:sz w:val="22"/>
          <w:szCs w:val="22"/>
          <w:u w:val="single"/>
          <w:lang w:val="en-GB"/>
        </w:rPr>
        <w:t>.</w:t>
      </w:r>
      <w:r w:rsidR="00EE76D6" w:rsidRPr="006F0F22">
        <w:rPr>
          <w:sz w:val="22"/>
          <w:szCs w:val="22"/>
          <w:u w:val="single"/>
          <w:lang w:val="en-GB"/>
        </w:rPr>
        <w:t xml:space="preserve"> </w:t>
      </w:r>
      <w:r w:rsidR="006305F4" w:rsidRPr="006F0F22">
        <w:rPr>
          <w:sz w:val="22"/>
          <w:szCs w:val="22"/>
          <w:u w:val="single"/>
          <w:lang w:val="en-GB"/>
        </w:rPr>
        <w:t>Moreover, u</w:t>
      </w:r>
      <w:r w:rsidR="00EE76D6" w:rsidRPr="006F0F22">
        <w:rPr>
          <w:sz w:val="22"/>
          <w:szCs w:val="22"/>
          <w:u w:val="single"/>
          <w:lang w:val="en-GB"/>
        </w:rPr>
        <w:t>nder the business-as-usual scenario</w:t>
      </w:r>
      <w:r w:rsidR="006305F4" w:rsidRPr="006F0F22">
        <w:rPr>
          <w:sz w:val="22"/>
          <w:szCs w:val="22"/>
          <w:u w:val="single"/>
          <w:lang w:val="en-GB"/>
        </w:rPr>
        <w:t xml:space="preserve"> important </w:t>
      </w:r>
      <w:r w:rsidR="000C36CD" w:rsidRPr="006F0F22">
        <w:rPr>
          <w:sz w:val="22"/>
          <w:szCs w:val="22"/>
          <w:u w:val="single"/>
          <w:lang w:val="en-GB"/>
        </w:rPr>
        <w:t xml:space="preserve">gaps would remain in PA </w:t>
      </w:r>
      <w:r w:rsidR="006305F4" w:rsidRPr="006F0F22">
        <w:rPr>
          <w:sz w:val="22"/>
          <w:szCs w:val="22"/>
          <w:u w:val="single"/>
          <w:lang w:val="en-GB"/>
        </w:rPr>
        <w:t xml:space="preserve">management </w:t>
      </w:r>
      <w:r w:rsidR="000C36CD" w:rsidRPr="006F0F22">
        <w:rPr>
          <w:sz w:val="22"/>
          <w:szCs w:val="22"/>
          <w:u w:val="single"/>
          <w:lang w:val="en-GB"/>
        </w:rPr>
        <w:t xml:space="preserve">coverage </w:t>
      </w:r>
      <w:r w:rsidR="006305F4" w:rsidRPr="006F0F22">
        <w:rPr>
          <w:sz w:val="22"/>
          <w:szCs w:val="22"/>
          <w:u w:val="single"/>
          <w:lang w:val="en-GB"/>
        </w:rPr>
        <w:t>and</w:t>
      </w:r>
      <w:r w:rsidR="006305F4">
        <w:rPr>
          <w:sz w:val="22"/>
          <w:szCs w:val="22"/>
          <w:u w:val="single"/>
          <w:lang w:val="en-GB"/>
        </w:rPr>
        <w:t xml:space="preserve"> </w:t>
      </w:r>
      <w:r w:rsidR="000C36CD">
        <w:rPr>
          <w:sz w:val="22"/>
          <w:szCs w:val="22"/>
          <w:u w:val="single"/>
          <w:lang w:val="en-GB"/>
        </w:rPr>
        <w:t>operational effectiveness</w:t>
      </w:r>
      <w:r w:rsidR="000C36CD" w:rsidRPr="000C36CD">
        <w:rPr>
          <w:sz w:val="22"/>
          <w:szCs w:val="22"/>
          <w:lang w:val="en-GB"/>
        </w:rPr>
        <w:t xml:space="preserve"> (most especially </w:t>
      </w:r>
      <w:r w:rsidR="000C36CD">
        <w:rPr>
          <w:sz w:val="22"/>
          <w:szCs w:val="22"/>
          <w:lang w:val="en-GB"/>
        </w:rPr>
        <w:t xml:space="preserve">in relation to </w:t>
      </w:r>
      <w:r w:rsidR="00EE76D6" w:rsidRPr="000C36CD">
        <w:rPr>
          <w:sz w:val="22"/>
          <w:szCs w:val="22"/>
          <w:lang w:val="en-GB"/>
        </w:rPr>
        <w:t>Cantanhez NP</w:t>
      </w:r>
      <w:r w:rsidR="000C36CD" w:rsidRPr="000C36CD">
        <w:rPr>
          <w:sz w:val="22"/>
          <w:szCs w:val="22"/>
          <w:lang w:val="en-GB"/>
        </w:rPr>
        <w:t>)</w:t>
      </w:r>
      <w:r w:rsidR="006305F4" w:rsidRPr="000C36CD">
        <w:rPr>
          <w:sz w:val="22"/>
          <w:szCs w:val="22"/>
          <w:lang w:val="en-GB"/>
        </w:rPr>
        <w:t>.</w:t>
      </w:r>
    </w:p>
    <w:p w:rsidR="00EB2F0D" w:rsidRPr="00EE76D6" w:rsidRDefault="00EB2F0D" w:rsidP="00CD1DD1">
      <w:pPr>
        <w:pStyle w:val="Footer"/>
        <w:tabs>
          <w:tab w:val="clear" w:pos="4320"/>
          <w:tab w:val="clear" w:pos="8640"/>
        </w:tabs>
        <w:ind w:left="0"/>
        <w:contextualSpacing/>
        <w:jc w:val="both"/>
        <w:rPr>
          <w:sz w:val="22"/>
          <w:szCs w:val="22"/>
          <w:lang w:val="en-GB"/>
        </w:rPr>
      </w:pPr>
    </w:p>
    <w:p w:rsidR="000B7D22" w:rsidRPr="00EE76D6" w:rsidRDefault="003B6D33" w:rsidP="00A03B22">
      <w:pPr>
        <w:pStyle w:val="Footer"/>
        <w:tabs>
          <w:tab w:val="left" w:pos="0"/>
          <w:tab w:val="left" w:pos="227"/>
          <w:tab w:val="left" w:pos="340"/>
          <w:tab w:val="left" w:pos="397"/>
          <w:tab w:val="left" w:pos="720"/>
        </w:tabs>
        <w:ind w:left="0"/>
        <w:contextualSpacing/>
        <w:jc w:val="both"/>
        <w:rPr>
          <w:sz w:val="22"/>
          <w:szCs w:val="22"/>
          <w:lang w:val="en-GB"/>
        </w:rPr>
      </w:pPr>
      <w:r w:rsidRPr="00EE76D6">
        <w:rPr>
          <w:b/>
          <w:sz w:val="22"/>
          <w:szCs w:val="22"/>
          <w:lang w:val="en-GB"/>
        </w:rPr>
        <w:t>Root causes and barriers that need to be addressed</w:t>
      </w:r>
    </w:p>
    <w:p w:rsidR="00A03B22" w:rsidRPr="00A030F3" w:rsidRDefault="00A03B22" w:rsidP="00A03B22">
      <w:pPr>
        <w:pStyle w:val="Footer"/>
        <w:tabs>
          <w:tab w:val="left" w:pos="0"/>
          <w:tab w:val="left" w:pos="227"/>
          <w:tab w:val="left" w:pos="340"/>
          <w:tab w:val="left" w:pos="397"/>
          <w:tab w:val="left" w:pos="720"/>
        </w:tabs>
        <w:ind w:left="0"/>
        <w:contextualSpacing/>
        <w:jc w:val="both"/>
        <w:rPr>
          <w:color w:val="92D050"/>
          <w:sz w:val="22"/>
          <w:szCs w:val="22"/>
          <w:u w:val="single"/>
          <w:lang w:val="en-GB"/>
        </w:rPr>
      </w:pPr>
    </w:p>
    <w:p w:rsidR="003D5629" w:rsidRPr="00EE76D6" w:rsidRDefault="00354234" w:rsidP="003171E7">
      <w:pPr>
        <w:pStyle w:val="Footer"/>
        <w:numPr>
          <w:ilvl w:val="0"/>
          <w:numId w:val="24"/>
        </w:numPr>
        <w:tabs>
          <w:tab w:val="clear" w:pos="4320"/>
          <w:tab w:val="clear" w:pos="8640"/>
        </w:tabs>
        <w:ind w:left="0" w:firstLine="0"/>
        <w:contextualSpacing/>
        <w:jc w:val="both"/>
        <w:rPr>
          <w:sz w:val="22"/>
          <w:szCs w:val="22"/>
          <w:lang w:val="en-GB"/>
        </w:rPr>
      </w:pPr>
      <w:r w:rsidRPr="00EE76D6">
        <w:rPr>
          <w:sz w:val="22"/>
          <w:szCs w:val="22"/>
          <w:u w:val="single"/>
          <w:lang w:val="en-GB"/>
        </w:rPr>
        <w:t>The long term solution is to</w:t>
      </w:r>
      <w:r w:rsidR="00BF6DD7" w:rsidRPr="00EE76D6">
        <w:rPr>
          <w:sz w:val="22"/>
          <w:szCs w:val="22"/>
          <w:u w:val="single"/>
          <w:lang w:val="en-GB"/>
        </w:rPr>
        <w:t xml:space="preserve"> have a </w:t>
      </w:r>
      <w:r w:rsidR="00915A64" w:rsidRPr="00EE76D6">
        <w:rPr>
          <w:sz w:val="22"/>
          <w:szCs w:val="22"/>
          <w:u w:val="single"/>
          <w:lang w:val="en-GB"/>
        </w:rPr>
        <w:t>well-</w:t>
      </w:r>
      <w:r w:rsidR="00BF6DD7" w:rsidRPr="00EE76D6">
        <w:rPr>
          <w:sz w:val="22"/>
          <w:szCs w:val="22"/>
          <w:u w:val="single"/>
          <w:lang w:val="en-GB"/>
        </w:rPr>
        <w:t>fun</w:t>
      </w:r>
      <w:r w:rsidR="00915A64" w:rsidRPr="00EE76D6">
        <w:rPr>
          <w:sz w:val="22"/>
          <w:szCs w:val="22"/>
          <w:u w:val="single"/>
          <w:lang w:val="en-GB"/>
        </w:rPr>
        <w:t>ded</w:t>
      </w:r>
      <w:r w:rsidR="00BF6DD7" w:rsidRPr="00EE76D6">
        <w:rPr>
          <w:sz w:val="22"/>
          <w:szCs w:val="22"/>
          <w:u w:val="single"/>
          <w:lang w:val="en-GB"/>
        </w:rPr>
        <w:t xml:space="preserve"> Protected Area system</w:t>
      </w:r>
      <w:r w:rsidR="00BF6DD7" w:rsidRPr="00EE76D6">
        <w:rPr>
          <w:sz w:val="22"/>
          <w:szCs w:val="22"/>
          <w:lang w:val="en-GB"/>
        </w:rPr>
        <w:t xml:space="preserve"> that conserves Guinea Bissau’s highest</w:t>
      </w:r>
      <w:r w:rsidR="00F367E2" w:rsidRPr="00EE76D6">
        <w:rPr>
          <w:sz w:val="22"/>
          <w:szCs w:val="22"/>
          <w:lang w:val="en-GB"/>
        </w:rPr>
        <w:t xml:space="preserve"> </w:t>
      </w:r>
      <w:r w:rsidR="00BF6DD7" w:rsidRPr="00EE76D6">
        <w:rPr>
          <w:sz w:val="22"/>
          <w:szCs w:val="22"/>
          <w:lang w:val="en-GB"/>
        </w:rPr>
        <w:t xml:space="preserve">biodiversity value ecosystems through PAs </w:t>
      </w:r>
      <w:r w:rsidR="00E43A73" w:rsidRPr="00EE76D6">
        <w:rPr>
          <w:sz w:val="22"/>
          <w:szCs w:val="22"/>
          <w:lang w:val="en-GB"/>
        </w:rPr>
        <w:t xml:space="preserve">that </w:t>
      </w:r>
      <w:r w:rsidR="00BF6DD7" w:rsidRPr="00EE76D6">
        <w:rPr>
          <w:sz w:val="22"/>
          <w:szCs w:val="22"/>
          <w:lang w:val="en-GB"/>
        </w:rPr>
        <w:t>are effectively managed under nationally mandated standards to meet conservation goals in a cost effective manner</w:t>
      </w:r>
      <w:r w:rsidR="00BD6C91" w:rsidRPr="00EE76D6">
        <w:rPr>
          <w:sz w:val="22"/>
          <w:szCs w:val="22"/>
          <w:lang w:val="en-GB"/>
        </w:rPr>
        <w:t xml:space="preserve">. </w:t>
      </w:r>
      <w:r w:rsidR="00E43A73" w:rsidRPr="00EE76D6">
        <w:rPr>
          <w:sz w:val="22"/>
          <w:szCs w:val="22"/>
          <w:lang w:val="en-GB"/>
        </w:rPr>
        <w:t xml:space="preserve">Despite the rapid advances of the last two decades </w:t>
      </w:r>
      <w:r w:rsidR="00915A64" w:rsidRPr="00EE76D6">
        <w:rPr>
          <w:sz w:val="22"/>
          <w:szCs w:val="22"/>
          <w:lang w:val="en-GB"/>
        </w:rPr>
        <w:t>in which</w:t>
      </w:r>
      <w:r w:rsidR="00F367E2" w:rsidRPr="00EE76D6">
        <w:rPr>
          <w:sz w:val="22"/>
          <w:szCs w:val="22"/>
          <w:lang w:val="en-GB"/>
        </w:rPr>
        <w:t xml:space="preserve"> </w:t>
      </w:r>
      <w:r w:rsidR="00915A64" w:rsidRPr="00EE76D6">
        <w:rPr>
          <w:sz w:val="22"/>
          <w:szCs w:val="22"/>
          <w:lang w:val="en-GB"/>
        </w:rPr>
        <w:t xml:space="preserve">Guinea-Bissau with the support of GEF and other donors has put in place the first building blocks towards a national PA system, the achievement of this long term solution is impeded by continuing financial and operational barriers </w:t>
      </w:r>
      <w:r w:rsidR="00BD6C91" w:rsidRPr="00EE76D6">
        <w:rPr>
          <w:sz w:val="22"/>
          <w:szCs w:val="22"/>
          <w:lang w:val="en-GB"/>
        </w:rPr>
        <w:t xml:space="preserve">as </w:t>
      </w:r>
      <w:r w:rsidR="00915A64" w:rsidRPr="00EE76D6">
        <w:rPr>
          <w:sz w:val="22"/>
          <w:szCs w:val="22"/>
          <w:lang w:val="en-GB"/>
        </w:rPr>
        <w:t>described below.</w:t>
      </w:r>
    </w:p>
    <w:p w:rsidR="003171E7" w:rsidRPr="00A030F3" w:rsidRDefault="003171E7" w:rsidP="003171E7">
      <w:pPr>
        <w:pStyle w:val="Footer"/>
        <w:tabs>
          <w:tab w:val="left" w:pos="0"/>
          <w:tab w:val="left" w:pos="227"/>
          <w:tab w:val="left" w:pos="340"/>
          <w:tab w:val="left" w:pos="397"/>
          <w:tab w:val="left" w:pos="720"/>
        </w:tabs>
        <w:ind w:left="0"/>
        <w:contextualSpacing/>
        <w:jc w:val="both"/>
        <w:rPr>
          <w:sz w:val="22"/>
          <w:szCs w:val="22"/>
          <w:lang w:val="en-GB"/>
        </w:rPr>
      </w:pPr>
    </w:p>
    <w:p w:rsidR="00EB4C59" w:rsidRPr="00BC21FA" w:rsidRDefault="00EB4C59" w:rsidP="00EB4C59">
      <w:pPr>
        <w:ind w:left="0"/>
        <w:contextualSpacing/>
        <w:jc w:val="both"/>
        <w:rPr>
          <w:i/>
          <w:sz w:val="22"/>
          <w:szCs w:val="22"/>
          <w:lang w:val="en-GB"/>
        </w:rPr>
      </w:pPr>
      <w:r w:rsidRPr="00BC21FA">
        <w:rPr>
          <w:i/>
          <w:sz w:val="22"/>
          <w:szCs w:val="22"/>
          <w:lang w:val="en-GB"/>
        </w:rPr>
        <w:t>Barrier 1: Revenue generation constraints:</w:t>
      </w:r>
    </w:p>
    <w:p w:rsidR="00EB4C59" w:rsidRPr="00A030F3" w:rsidRDefault="00EB4C59" w:rsidP="00EB4C59">
      <w:pPr>
        <w:ind w:left="0"/>
        <w:contextualSpacing/>
        <w:jc w:val="both"/>
        <w:rPr>
          <w:color w:val="92D050"/>
          <w:sz w:val="22"/>
          <w:szCs w:val="22"/>
          <w:lang w:val="en-GB"/>
        </w:rPr>
      </w:pPr>
    </w:p>
    <w:p w:rsidR="00EB4C59" w:rsidRPr="006F0F22" w:rsidRDefault="00EB4C59" w:rsidP="00EB4C59">
      <w:pPr>
        <w:pStyle w:val="Footer"/>
        <w:numPr>
          <w:ilvl w:val="0"/>
          <w:numId w:val="24"/>
        </w:numPr>
        <w:tabs>
          <w:tab w:val="clear" w:pos="4320"/>
          <w:tab w:val="clear" w:pos="8640"/>
        </w:tabs>
        <w:ind w:left="0" w:firstLine="0"/>
        <w:contextualSpacing/>
        <w:jc w:val="both"/>
        <w:rPr>
          <w:sz w:val="22"/>
          <w:szCs w:val="22"/>
          <w:lang w:val="en-GB"/>
        </w:rPr>
      </w:pPr>
      <w:r w:rsidRPr="006F0F22">
        <w:rPr>
          <w:sz w:val="22"/>
          <w:szCs w:val="22"/>
          <w:lang w:val="en-GB"/>
        </w:rPr>
        <w:t xml:space="preserve">Almost 100 % of PA funding in Guinea Bissau comes from external sources. Government funds are limited to tax exemption, which while useful for improving the cost-effectiveness of external interventions, do not provide ready cash needed to develop and manage the national network of PAs. A </w:t>
      </w:r>
      <w:r w:rsidRPr="006F0F22">
        <w:rPr>
          <w:bCs/>
          <w:sz w:val="22"/>
          <w:szCs w:val="22"/>
          <w:lang w:val="en-GB"/>
        </w:rPr>
        <w:t xml:space="preserve">major advance has been made in setting up the FBG according to international standards. The </w:t>
      </w:r>
      <w:r w:rsidR="00EE372F" w:rsidRPr="006F0F22">
        <w:rPr>
          <w:bCs/>
          <w:sz w:val="22"/>
          <w:szCs w:val="22"/>
          <w:lang w:val="en-GB"/>
        </w:rPr>
        <w:t xml:space="preserve">FBG </w:t>
      </w:r>
      <w:r w:rsidRPr="006F0F22">
        <w:rPr>
          <w:bCs/>
          <w:sz w:val="22"/>
          <w:szCs w:val="22"/>
          <w:lang w:val="en-GB"/>
        </w:rPr>
        <w:t xml:space="preserve">has been designed as a sustainable financing mechanism to shield the management of the national PA system from the chronic public budget shortages and reduce the reliance of the sector on unpredictable donor financing. To date, however, the </w:t>
      </w:r>
      <w:r w:rsidR="00EE372F" w:rsidRPr="006F0F22">
        <w:rPr>
          <w:bCs/>
          <w:sz w:val="22"/>
          <w:szCs w:val="22"/>
          <w:lang w:val="en-GB"/>
        </w:rPr>
        <w:t xml:space="preserve">endowment of the </w:t>
      </w:r>
      <w:r w:rsidRPr="006F0F22">
        <w:rPr>
          <w:bCs/>
          <w:sz w:val="22"/>
          <w:szCs w:val="22"/>
          <w:lang w:val="en-GB"/>
        </w:rPr>
        <w:t xml:space="preserve">FBG has not been capitalised and PA management in Guinea-Bissau still relies almost exclusively on external project-based funding sources. Unless the foundation is rendered functional and urgently capitalized there is a real risk that conservation activities are eventually halted and that the significant gains accrued over the last decade end up being reversed. It has been estimated that an FBG endowment of $15 to 20 million, with a 5% return, would be sufficient to sustainably finance the recurrent costs of the country’s existing protected areas and biodiversity conservation efforts in perpetuity. The initial fundraising target for the FBG endowment was $5,000,000, sufficient to guarantee the recurrent operating costs of at least two key PAs as well as of the FBG itself. However, no tangible results have so far been obtained or are likely to be obtained in the near future due to various issues associated with eligibility criteria and unmet matching provisions that the WB and other partners have encountered. </w:t>
      </w:r>
      <w:r w:rsidRPr="006F0F22">
        <w:rPr>
          <w:sz w:val="22"/>
          <w:szCs w:val="22"/>
          <w:lang w:val="en-GB"/>
        </w:rPr>
        <w:t>Capitalisation has further been undermined by the initial lack of donor confidence in governance and operational capacity of the FBG. Resources will be made available for developing key operational issues, but it is essential that procedures are verified and formalised auditing and reporting protocols finalized, and that management arrangements are completed to increase confidence levels to catalyse capitalisation. Furthermore new approaches are needed to complete capitalisation over the longer term through alternative mechanisms rather than traditional donors. While first steps have been made via a national PA financing strategy that lays out the need for revenue generation and fee levels across PAs, these measures have yet to be implemented and the scope of analysis expanded.</w:t>
      </w:r>
    </w:p>
    <w:p w:rsidR="00EB4C59" w:rsidRPr="006F0F22" w:rsidRDefault="00EB4C59" w:rsidP="00EB4C59">
      <w:pPr>
        <w:pStyle w:val="Footer"/>
        <w:tabs>
          <w:tab w:val="left" w:pos="0"/>
          <w:tab w:val="left" w:pos="227"/>
          <w:tab w:val="left" w:pos="340"/>
          <w:tab w:val="left" w:pos="397"/>
          <w:tab w:val="left" w:pos="720"/>
        </w:tabs>
        <w:ind w:left="0"/>
        <w:contextualSpacing/>
        <w:jc w:val="both"/>
        <w:rPr>
          <w:sz w:val="22"/>
          <w:szCs w:val="22"/>
          <w:lang w:val="en-GB"/>
        </w:rPr>
      </w:pPr>
    </w:p>
    <w:p w:rsidR="00EB4C59" w:rsidRPr="006F0F22" w:rsidRDefault="00EB4C59" w:rsidP="00EB4C59">
      <w:pPr>
        <w:pStyle w:val="para"/>
        <w:spacing w:after="0"/>
        <w:contextualSpacing/>
        <w:rPr>
          <w:sz w:val="22"/>
          <w:szCs w:val="22"/>
          <w:u w:val="single"/>
          <w:lang w:val="en-GB"/>
        </w:rPr>
      </w:pPr>
      <w:r w:rsidRPr="006F0F22">
        <w:rPr>
          <w:i/>
          <w:sz w:val="22"/>
          <w:szCs w:val="22"/>
          <w:lang w:val="en-GB"/>
        </w:rPr>
        <w:t xml:space="preserve">Barrier 2 </w:t>
      </w:r>
      <w:r w:rsidR="0083717C" w:rsidRPr="006F0F22">
        <w:rPr>
          <w:i/>
          <w:sz w:val="22"/>
          <w:szCs w:val="22"/>
          <w:lang w:val="en-GB"/>
        </w:rPr>
        <w:t xml:space="preserve">Incomplete coverage and operational deficiencies of PA management </w:t>
      </w:r>
    </w:p>
    <w:p w:rsidR="00EB4C59" w:rsidRPr="006F0F22" w:rsidRDefault="00EB4C59" w:rsidP="00EB4C59">
      <w:pPr>
        <w:pStyle w:val="para"/>
        <w:spacing w:after="0"/>
        <w:contextualSpacing/>
        <w:rPr>
          <w:strike/>
          <w:sz w:val="22"/>
          <w:szCs w:val="22"/>
          <w:lang w:val="en-GB"/>
        </w:rPr>
      </w:pPr>
    </w:p>
    <w:p w:rsidR="0083717C" w:rsidRPr="006F0F22" w:rsidRDefault="0083717C" w:rsidP="001062AA">
      <w:pPr>
        <w:pStyle w:val="Footer"/>
        <w:numPr>
          <w:ilvl w:val="0"/>
          <w:numId w:val="24"/>
        </w:numPr>
        <w:tabs>
          <w:tab w:val="clear" w:pos="4320"/>
          <w:tab w:val="clear" w:pos="8640"/>
        </w:tabs>
        <w:ind w:left="0" w:firstLine="0"/>
        <w:contextualSpacing/>
        <w:jc w:val="both"/>
        <w:rPr>
          <w:sz w:val="22"/>
          <w:szCs w:val="22"/>
          <w:lang w:val="en-GB"/>
        </w:rPr>
      </w:pPr>
      <w:r w:rsidRPr="006F0F22">
        <w:rPr>
          <w:sz w:val="22"/>
          <w:szCs w:val="22"/>
          <w:lang w:val="en-GB"/>
        </w:rPr>
        <w:t xml:space="preserve">The above-indicated funding </w:t>
      </w:r>
      <w:r w:rsidR="00EB4C59" w:rsidRPr="006F0F22">
        <w:rPr>
          <w:sz w:val="22"/>
          <w:szCs w:val="22"/>
          <w:lang w:val="en-GB"/>
        </w:rPr>
        <w:t>limitations are exacerbated by</w:t>
      </w:r>
      <w:r w:rsidRPr="006F0F22">
        <w:rPr>
          <w:sz w:val="22"/>
          <w:szCs w:val="22"/>
          <w:lang w:val="en-GB"/>
        </w:rPr>
        <w:t xml:space="preserve"> a still incomplete coverage of </w:t>
      </w:r>
      <w:r w:rsidR="00D07B94" w:rsidRPr="006F0F22">
        <w:rPr>
          <w:sz w:val="22"/>
          <w:szCs w:val="22"/>
          <w:lang w:val="en-GB"/>
        </w:rPr>
        <w:t xml:space="preserve">effective PA </w:t>
      </w:r>
      <w:r w:rsidRPr="006F0F22">
        <w:rPr>
          <w:sz w:val="22"/>
          <w:szCs w:val="22"/>
          <w:lang w:val="en-GB"/>
        </w:rPr>
        <w:t xml:space="preserve">management </w:t>
      </w:r>
      <w:r w:rsidR="00D07B94" w:rsidRPr="006F0F22">
        <w:rPr>
          <w:sz w:val="22"/>
          <w:szCs w:val="22"/>
          <w:lang w:val="en-GB"/>
        </w:rPr>
        <w:t xml:space="preserve">by </w:t>
      </w:r>
      <w:r w:rsidRPr="006F0F22">
        <w:rPr>
          <w:sz w:val="22"/>
          <w:szCs w:val="22"/>
          <w:lang w:val="en-GB"/>
        </w:rPr>
        <w:t>the government (IBAP)</w:t>
      </w:r>
      <w:r w:rsidR="00D07B94" w:rsidRPr="006F0F22">
        <w:rPr>
          <w:sz w:val="22"/>
          <w:szCs w:val="22"/>
          <w:lang w:val="en-GB"/>
        </w:rPr>
        <w:t xml:space="preserve">, due to weak presence in selected areas and </w:t>
      </w:r>
      <w:r w:rsidR="00D85357" w:rsidRPr="006F0F22">
        <w:rPr>
          <w:sz w:val="22"/>
          <w:szCs w:val="22"/>
          <w:lang w:val="en-GB"/>
        </w:rPr>
        <w:t xml:space="preserve">specific </w:t>
      </w:r>
      <w:r w:rsidR="00D07B94" w:rsidRPr="006F0F22">
        <w:rPr>
          <w:sz w:val="22"/>
          <w:szCs w:val="22"/>
          <w:lang w:val="en-GB"/>
        </w:rPr>
        <w:t xml:space="preserve">operational deficiencies. </w:t>
      </w:r>
      <w:r w:rsidR="00D85357" w:rsidRPr="006F0F22">
        <w:rPr>
          <w:sz w:val="22"/>
          <w:szCs w:val="22"/>
          <w:lang w:val="en-GB"/>
        </w:rPr>
        <w:t xml:space="preserve">For instance, most of the </w:t>
      </w:r>
      <w:r w:rsidR="00D07B94" w:rsidRPr="006F0F22">
        <w:rPr>
          <w:sz w:val="22"/>
          <w:szCs w:val="22"/>
          <w:lang w:val="en-GB"/>
        </w:rPr>
        <w:t>PAs do not have business plans</w:t>
      </w:r>
      <w:r w:rsidR="00D85357" w:rsidRPr="006F0F22">
        <w:rPr>
          <w:sz w:val="22"/>
          <w:szCs w:val="22"/>
          <w:lang w:val="en-GB"/>
        </w:rPr>
        <w:t>.</w:t>
      </w:r>
      <w:r w:rsidR="00D07B94" w:rsidRPr="006F0F22">
        <w:rPr>
          <w:sz w:val="22"/>
          <w:szCs w:val="22"/>
          <w:lang w:val="en-GB"/>
        </w:rPr>
        <w:t xml:space="preserve"> Furthermore, procedures for expenditure reporting are weak and are not linked to conservation benefits with the result th</w:t>
      </w:r>
      <w:r w:rsidR="00D85357" w:rsidRPr="006F0F22">
        <w:rPr>
          <w:sz w:val="22"/>
          <w:szCs w:val="22"/>
          <w:lang w:val="en-GB"/>
        </w:rPr>
        <w:t>at even with increased resource</w:t>
      </w:r>
      <w:r w:rsidR="00D07B94" w:rsidRPr="006F0F22">
        <w:rPr>
          <w:sz w:val="22"/>
          <w:szCs w:val="22"/>
          <w:lang w:val="en-GB"/>
        </w:rPr>
        <w:t xml:space="preserve"> allocation</w:t>
      </w:r>
      <w:r w:rsidR="00D85357" w:rsidRPr="006F0F22">
        <w:rPr>
          <w:sz w:val="22"/>
          <w:szCs w:val="22"/>
          <w:lang w:val="en-GB"/>
        </w:rPr>
        <w:t>s</w:t>
      </w:r>
      <w:r w:rsidR="00D07B94" w:rsidRPr="006F0F22">
        <w:rPr>
          <w:sz w:val="22"/>
          <w:szCs w:val="22"/>
          <w:lang w:val="en-GB"/>
        </w:rPr>
        <w:t xml:space="preserve"> to sites</w:t>
      </w:r>
      <w:r w:rsidR="00D85357" w:rsidRPr="006F0F22">
        <w:rPr>
          <w:sz w:val="22"/>
          <w:szCs w:val="22"/>
          <w:lang w:val="en-GB"/>
        </w:rPr>
        <w:t xml:space="preserve"> </w:t>
      </w:r>
      <w:r w:rsidR="00D07B94" w:rsidRPr="006F0F22">
        <w:rPr>
          <w:sz w:val="22"/>
          <w:szCs w:val="22"/>
          <w:lang w:val="en-GB"/>
        </w:rPr>
        <w:t xml:space="preserve">these would not necessarily be commensurate with contributions to conservation goals. Management capacity is still low and most existing field-level personnel </w:t>
      </w:r>
      <w:r w:rsidR="00283565" w:rsidRPr="006F0F22">
        <w:rPr>
          <w:sz w:val="22"/>
          <w:szCs w:val="22"/>
          <w:lang w:val="en-GB"/>
        </w:rPr>
        <w:t>still lack</w:t>
      </w:r>
      <w:r w:rsidR="00D07B94" w:rsidRPr="006F0F22">
        <w:rPr>
          <w:sz w:val="22"/>
          <w:szCs w:val="22"/>
          <w:lang w:val="en-GB"/>
        </w:rPr>
        <w:t xml:space="preserve"> the full complement of skills required for efficient</w:t>
      </w:r>
      <w:r w:rsidR="00283565" w:rsidRPr="006F0F22">
        <w:rPr>
          <w:sz w:val="22"/>
          <w:szCs w:val="22"/>
          <w:lang w:val="en-GB"/>
        </w:rPr>
        <w:t xml:space="preserve"> PA management in a context of </w:t>
      </w:r>
      <w:r w:rsidR="00D07B94" w:rsidRPr="006F0F22">
        <w:rPr>
          <w:sz w:val="22"/>
          <w:szCs w:val="22"/>
          <w:lang w:val="en-GB"/>
        </w:rPr>
        <w:t xml:space="preserve">low funding levels </w:t>
      </w:r>
      <w:r w:rsidR="00283565" w:rsidRPr="006F0F22">
        <w:rPr>
          <w:sz w:val="22"/>
          <w:szCs w:val="22"/>
          <w:lang w:val="en-GB"/>
        </w:rPr>
        <w:t xml:space="preserve">while being faced with substantive </w:t>
      </w:r>
      <w:r w:rsidR="00D07B94" w:rsidRPr="006F0F22">
        <w:rPr>
          <w:sz w:val="22"/>
          <w:szCs w:val="22"/>
          <w:lang w:val="en-GB"/>
        </w:rPr>
        <w:t>communities within and around PA boundaries. Nor do they have the administrative and financial experience to manage the sparse resources or to link budgets to strategic goals. The absence of financial skills also limits access to non-budgetary funding opportunities.</w:t>
      </w:r>
      <w:r w:rsidR="00283565" w:rsidRPr="006F0F22">
        <w:rPr>
          <w:sz w:val="22"/>
          <w:szCs w:val="22"/>
          <w:lang w:val="en-GB"/>
        </w:rPr>
        <w:t xml:space="preserve"> </w:t>
      </w:r>
    </w:p>
    <w:p w:rsidR="00AE2D74" w:rsidRPr="006F0F22" w:rsidRDefault="00AE2D74" w:rsidP="00EB4C59">
      <w:pPr>
        <w:pStyle w:val="Footer"/>
        <w:tabs>
          <w:tab w:val="clear" w:pos="4320"/>
          <w:tab w:val="clear" w:pos="8640"/>
        </w:tabs>
        <w:ind w:left="0" w:right="-57"/>
        <w:contextualSpacing/>
        <w:jc w:val="both"/>
        <w:rPr>
          <w:sz w:val="22"/>
          <w:szCs w:val="22"/>
          <w:lang w:val="en-GB"/>
        </w:rPr>
      </w:pPr>
    </w:p>
    <w:p w:rsidR="00EB4C59" w:rsidRPr="006F0F22" w:rsidRDefault="00EB4C59" w:rsidP="001062AA">
      <w:pPr>
        <w:pStyle w:val="Footer"/>
        <w:numPr>
          <w:ilvl w:val="0"/>
          <w:numId w:val="24"/>
        </w:numPr>
        <w:tabs>
          <w:tab w:val="clear" w:pos="4320"/>
          <w:tab w:val="clear" w:pos="8640"/>
        </w:tabs>
        <w:ind w:left="0" w:firstLine="0"/>
        <w:contextualSpacing/>
        <w:jc w:val="both"/>
        <w:rPr>
          <w:sz w:val="22"/>
          <w:szCs w:val="22"/>
          <w:lang w:val="en-GB"/>
        </w:rPr>
      </w:pPr>
      <w:r w:rsidRPr="006F0F22">
        <w:rPr>
          <w:sz w:val="22"/>
          <w:szCs w:val="22"/>
          <w:lang w:val="en-GB"/>
        </w:rPr>
        <w:t xml:space="preserve">Operational deficiencies are further </w:t>
      </w:r>
      <w:r w:rsidR="00C7714B" w:rsidRPr="006F0F22">
        <w:rPr>
          <w:sz w:val="22"/>
          <w:szCs w:val="22"/>
          <w:lang w:val="en-GB"/>
        </w:rPr>
        <w:t xml:space="preserve">compounded </w:t>
      </w:r>
      <w:r w:rsidRPr="006F0F22">
        <w:rPr>
          <w:sz w:val="22"/>
          <w:szCs w:val="22"/>
          <w:lang w:val="en-GB"/>
        </w:rPr>
        <w:t>by a weak collaborative framework among institutions responsible for biodiversity conservation and forest management. IBAP manages biodiversity and the national PA system, as detailed in the recently revised Law on Protected Areas (Lei-Quadro das AP, Decree-Law No. 5a/2011). DGFF is responsible for the management of the nation’s forests, including lands under communal forest regimes, wildlife management policies and hunting concessions, as detailed in the Forestry Law, also recently revised (Lei Florestal, Decree-Law No. 5/2011). This mandate thus covers key land uses and practices that are currently underpinning major pressures</w:t>
      </w:r>
      <w:r w:rsidR="008613D6" w:rsidRPr="006F0F22">
        <w:rPr>
          <w:sz w:val="22"/>
          <w:szCs w:val="22"/>
          <w:lang w:val="en-GB"/>
        </w:rPr>
        <w:t xml:space="preserve"> on PAs</w:t>
      </w:r>
      <w:r w:rsidRPr="006F0F22">
        <w:rPr>
          <w:sz w:val="22"/>
          <w:szCs w:val="22"/>
          <w:lang w:val="en-GB"/>
        </w:rPr>
        <w:t xml:space="preserve">. The two institutions have so far had little scope for collaboration, particularly since IBAP has mostly concentrated its presence in the coastal regions of Guinea-Bissau. There have been significant incidences highlighting the differing approaches of the two institutions, such as exploitation permits being issued by DGFF which were inconsistent with PA and community-based </w:t>
      </w:r>
      <w:r w:rsidRPr="006F0F22">
        <w:rPr>
          <w:sz w:val="22"/>
          <w:szCs w:val="22"/>
          <w:lang w:val="en-GB"/>
        </w:rPr>
        <w:lastRenderedPageBreak/>
        <w:t xml:space="preserve">forest management goals defined by IBAP and other stakeholders. This restricts the reduction of threats at source and the subsequent reduction in threat mitigation costs and limits the potential of sharing costs across institutions. The duplication and overlap in the mandate of the two different government structures has been identified as a key issue to be addressed to achieve a more effective management and protection of forest-related biodiversity in Guinea-Bissau. Indeed the effective establishment and management of PAs in the continental Forest Belt region of the country requires the creation of a functional collaborative framework involving the two institutions, leading to a shared vision and the alignment of key policy objectives. </w:t>
      </w:r>
    </w:p>
    <w:p w:rsidR="00DE64B1" w:rsidRPr="006F0F22" w:rsidRDefault="00DE64B1" w:rsidP="00EB4C59">
      <w:pPr>
        <w:pStyle w:val="para"/>
        <w:spacing w:after="0"/>
        <w:contextualSpacing/>
        <w:rPr>
          <w:sz w:val="22"/>
          <w:szCs w:val="22"/>
          <w:lang w:val="en-GB"/>
        </w:rPr>
      </w:pPr>
    </w:p>
    <w:p w:rsidR="00C7714B" w:rsidRPr="006F0F22" w:rsidRDefault="00EB4C59" w:rsidP="001062AA">
      <w:pPr>
        <w:pStyle w:val="Footer"/>
        <w:numPr>
          <w:ilvl w:val="0"/>
          <w:numId w:val="24"/>
        </w:numPr>
        <w:tabs>
          <w:tab w:val="clear" w:pos="4320"/>
          <w:tab w:val="clear" w:pos="8640"/>
        </w:tabs>
        <w:ind w:left="0" w:firstLine="0"/>
        <w:contextualSpacing/>
        <w:jc w:val="both"/>
        <w:rPr>
          <w:lang w:val="en-GB"/>
        </w:rPr>
      </w:pPr>
      <w:r w:rsidRPr="006F0F22">
        <w:rPr>
          <w:sz w:val="22"/>
          <w:szCs w:val="22"/>
          <w:lang w:val="en-GB"/>
        </w:rPr>
        <w:t xml:space="preserve">Most PAs in Guinea Bissau have significant human populations within or around their boundaries exerting mounting pressure on biodiversity resources and resulting in increased PA management costs. </w:t>
      </w:r>
      <w:r w:rsidR="005B5483" w:rsidRPr="006F0F22">
        <w:rPr>
          <w:sz w:val="22"/>
          <w:szCs w:val="22"/>
          <w:lang w:val="en-GB"/>
        </w:rPr>
        <w:t>T</w:t>
      </w:r>
      <w:r w:rsidRPr="006F0F22">
        <w:rPr>
          <w:sz w:val="22"/>
          <w:szCs w:val="22"/>
          <w:lang w:val="en-GB"/>
        </w:rPr>
        <w:t xml:space="preserve">he potential for stakeholders near protected areas to contribute </w:t>
      </w:r>
      <w:r w:rsidR="00CB5362" w:rsidRPr="006F0F22">
        <w:rPr>
          <w:sz w:val="22"/>
          <w:szCs w:val="22"/>
          <w:lang w:val="en-GB"/>
        </w:rPr>
        <w:t xml:space="preserve">– in conjunction with government (IBAP) – </w:t>
      </w:r>
      <w:r w:rsidRPr="006F0F22">
        <w:rPr>
          <w:sz w:val="22"/>
          <w:szCs w:val="22"/>
          <w:lang w:val="en-GB"/>
        </w:rPr>
        <w:t>to</w:t>
      </w:r>
      <w:r w:rsidR="00CB5362" w:rsidRPr="006F0F22">
        <w:rPr>
          <w:sz w:val="22"/>
          <w:szCs w:val="22"/>
          <w:lang w:val="en-GB"/>
        </w:rPr>
        <w:t xml:space="preserve"> </w:t>
      </w:r>
      <w:r w:rsidRPr="006F0F22">
        <w:rPr>
          <w:sz w:val="22"/>
          <w:szCs w:val="22"/>
          <w:lang w:val="en-GB"/>
        </w:rPr>
        <w:t xml:space="preserve">the effectiveness </w:t>
      </w:r>
      <w:r w:rsidR="005B5483" w:rsidRPr="006F0F22">
        <w:rPr>
          <w:sz w:val="22"/>
          <w:szCs w:val="22"/>
          <w:lang w:val="en-GB"/>
        </w:rPr>
        <w:t xml:space="preserve">and cost-efficiency </w:t>
      </w:r>
      <w:r w:rsidRPr="006F0F22">
        <w:rPr>
          <w:sz w:val="22"/>
          <w:szCs w:val="22"/>
          <w:lang w:val="en-GB"/>
        </w:rPr>
        <w:t>of PA management</w:t>
      </w:r>
      <w:r w:rsidR="00CB5362" w:rsidRPr="006F0F22">
        <w:rPr>
          <w:sz w:val="22"/>
          <w:szCs w:val="22"/>
          <w:lang w:val="en-GB"/>
        </w:rPr>
        <w:t xml:space="preserve"> is not sufficiently harnessed</w:t>
      </w:r>
      <w:r w:rsidRPr="006F0F22">
        <w:rPr>
          <w:sz w:val="22"/>
          <w:szCs w:val="22"/>
          <w:lang w:val="en-GB"/>
        </w:rPr>
        <w:t>. Although the national forestry policy and legal framework</w:t>
      </w:r>
      <w:r w:rsidRPr="006F0F22">
        <w:rPr>
          <w:rStyle w:val="FootnoteReference"/>
          <w:sz w:val="22"/>
          <w:szCs w:val="22"/>
          <w:lang w:val="en-GB"/>
        </w:rPr>
        <w:footnoteReference w:id="13"/>
      </w:r>
      <w:r w:rsidRPr="006F0F22">
        <w:rPr>
          <w:sz w:val="22"/>
          <w:szCs w:val="22"/>
          <w:lang w:val="en-GB"/>
        </w:rPr>
        <w:t xml:space="preserve"> allows for stakeholder participation through delegation of functions, co-management arrangements and advisory boards and councils respectively, local stakeholders have limited capacities to fulfil this foreseen role. Similarly, although there are policies that PA budgets should include funds for the livelihoods of communities living in and around the PA as part of threat reduction strategies, these have so far had limited application. Consequently, local stakeholders obtain few direct benefits from PAs, and therefore view them principally as potential sources of natural resources from which income can be derived through extraction.</w:t>
      </w:r>
    </w:p>
    <w:p w:rsidR="004202DC" w:rsidRPr="006F0F22" w:rsidRDefault="004202DC" w:rsidP="00A03B22">
      <w:pPr>
        <w:pStyle w:val="Heading5"/>
        <w:ind w:left="0"/>
      </w:pPr>
    </w:p>
    <w:p w:rsidR="00854A01" w:rsidRPr="006F0F22" w:rsidRDefault="00854A01" w:rsidP="00A03B22">
      <w:pPr>
        <w:pStyle w:val="Heading5"/>
        <w:ind w:left="0"/>
      </w:pPr>
      <w:r w:rsidRPr="006F0F22">
        <w:t>Proposed alternative scenario, expected outcomes and components of the project, incremental cost reasoning and expected contributions from the baseline, the GEF</w:t>
      </w:r>
      <w:r w:rsidR="00707D54" w:rsidRPr="006F0F22">
        <w:t>-</w:t>
      </w:r>
      <w:r w:rsidRPr="006F0F22">
        <w:t>TF, and co-financing</w:t>
      </w:r>
    </w:p>
    <w:p w:rsidR="00337FBA" w:rsidRPr="006F0F22" w:rsidRDefault="00337FBA" w:rsidP="00A03B22">
      <w:pPr>
        <w:pStyle w:val="Footer"/>
        <w:tabs>
          <w:tab w:val="left" w:pos="0"/>
          <w:tab w:val="left" w:pos="227"/>
          <w:tab w:val="left" w:pos="340"/>
          <w:tab w:val="left" w:pos="397"/>
          <w:tab w:val="left" w:pos="720"/>
        </w:tabs>
        <w:ind w:left="0"/>
        <w:contextualSpacing/>
        <w:jc w:val="both"/>
        <w:rPr>
          <w:sz w:val="22"/>
          <w:szCs w:val="22"/>
          <w:lang w:val="en-GB"/>
        </w:rPr>
      </w:pPr>
    </w:p>
    <w:p w:rsidR="005B2591" w:rsidRPr="006F0F22" w:rsidRDefault="00915E9E" w:rsidP="003064FA">
      <w:pPr>
        <w:pStyle w:val="Footer"/>
        <w:numPr>
          <w:ilvl w:val="0"/>
          <w:numId w:val="24"/>
        </w:numPr>
        <w:tabs>
          <w:tab w:val="clear" w:pos="4320"/>
          <w:tab w:val="clear" w:pos="8640"/>
        </w:tabs>
        <w:ind w:left="0" w:firstLine="0"/>
        <w:contextualSpacing/>
        <w:jc w:val="both"/>
        <w:rPr>
          <w:sz w:val="22"/>
          <w:szCs w:val="22"/>
          <w:lang w:val="en-GB"/>
        </w:rPr>
      </w:pPr>
      <w:r w:rsidRPr="006F0F22">
        <w:rPr>
          <w:sz w:val="22"/>
          <w:szCs w:val="22"/>
          <w:lang w:val="en-GB"/>
        </w:rPr>
        <w:t>The GoGB is seeking G</w:t>
      </w:r>
      <w:r w:rsidR="00BD2566" w:rsidRPr="006F0F22">
        <w:rPr>
          <w:sz w:val="22"/>
          <w:szCs w:val="22"/>
          <w:lang w:val="en-GB"/>
        </w:rPr>
        <w:t>E</w:t>
      </w:r>
      <w:r w:rsidRPr="006F0F22">
        <w:rPr>
          <w:sz w:val="22"/>
          <w:szCs w:val="22"/>
          <w:lang w:val="en-GB"/>
        </w:rPr>
        <w:t>F support to remove the</w:t>
      </w:r>
      <w:r w:rsidR="00F32391" w:rsidRPr="006F0F22">
        <w:rPr>
          <w:sz w:val="22"/>
          <w:szCs w:val="22"/>
          <w:lang w:val="en-GB"/>
        </w:rPr>
        <w:t xml:space="preserve"> above </w:t>
      </w:r>
      <w:r w:rsidR="005B2591" w:rsidRPr="006F0F22">
        <w:rPr>
          <w:sz w:val="22"/>
          <w:szCs w:val="22"/>
          <w:lang w:val="en-GB"/>
        </w:rPr>
        <w:t xml:space="preserve">barriers. Building on the results of previous GEF interventions and coordinating with ongoing and other donor funded projects (see </w:t>
      </w:r>
      <w:r w:rsidR="00ED38B3" w:rsidRPr="006F0F22">
        <w:rPr>
          <w:sz w:val="22"/>
          <w:szCs w:val="22"/>
          <w:lang w:val="en-GB"/>
        </w:rPr>
        <w:t>§ 6-13</w:t>
      </w:r>
      <w:r w:rsidR="005B2591" w:rsidRPr="006F0F22">
        <w:rPr>
          <w:sz w:val="22"/>
          <w:szCs w:val="22"/>
          <w:lang w:val="en-GB"/>
        </w:rPr>
        <w:t xml:space="preserve"> and section A.4), the project will pursue two interlinked approaches:</w:t>
      </w:r>
      <w:r w:rsidR="00225638" w:rsidRPr="006F0F22">
        <w:rPr>
          <w:sz w:val="22"/>
          <w:szCs w:val="22"/>
          <w:lang w:val="en-GB"/>
        </w:rPr>
        <w:t xml:space="preserve"> </w:t>
      </w:r>
      <w:r w:rsidR="003064FA" w:rsidRPr="006F0F22">
        <w:rPr>
          <w:sz w:val="22"/>
          <w:szCs w:val="22"/>
          <w:lang w:val="en-GB"/>
        </w:rPr>
        <w:t xml:space="preserve">(i) </w:t>
      </w:r>
      <w:r w:rsidR="00225638" w:rsidRPr="006F0F22">
        <w:rPr>
          <w:i/>
          <w:sz w:val="22"/>
          <w:szCs w:val="22"/>
          <w:lang w:val="en-GB"/>
        </w:rPr>
        <w:t>increasing</w:t>
      </w:r>
      <w:r w:rsidR="005B2591" w:rsidRPr="006F0F22">
        <w:rPr>
          <w:i/>
          <w:sz w:val="22"/>
          <w:szCs w:val="22"/>
          <w:lang w:val="en-GB"/>
        </w:rPr>
        <w:t xml:space="preserve"> revenue generatio</w:t>
      </w:r>
      <w:r w:rsidR="00225638" w:rsidRPr="006F0F22">
        <w:rPr>
          <w:i/>
          <w:sz w:val="22"/>
          <w:szCs w:val="22"/>
          <w:lang w:val="en-GB"/>
        </w:rPr>
        <w:t>n for the PA system</w:t>
      </w:r>
      <w:r w:rsidR="005B2591" w:rsidRPr="006F0F22">
        <w:rPr>
          <w:sz w:val="22"/>
          <w:szCs w:val="22"/>
          <w:lang w:val="en-GB"/>
        </w:rPr>
        <w:t xml:space="preserve"> by lifting barriers that impede full functioning of the FBG, achieving short-term </w:t>
      </w:r>
      <w:r w:rsidR="00D41768" w:rsidRPr="006F0F22">
        <w:rPr>
          <w:sz w:val="22"/>
          <w:szCs w:val="22"/>
          <w:lang w:val="en-GB"/>
        </w:rPr>
        <w:t xml:space="preserve">endowment </w:t>
      </w:r>
      <w:r w:rsidR="005B2591" w:rsidRPr="006F0F22">
        <w:rPr>
          <w:sz w:val="22"/>
          <w:szCs w:val="22"/>
          <w:lang w:val="en-GB"/>
        </w:rPr>
        <w:t>capitalisation targets together with project co-financiers and putting in place the foundations for the achievement of medium and long term targets;</w:t>
      </w:r>
      <w:r w:rsidR="00264788" w:rsidRPr="006F0F22">
        <w:rPr>
          <w:sz w:val="22"/>
          <w:szCs w:val="22"/>
          <w:lang w:val="en-GB"/>
        </w:rPr>
        <w:t xml:space="preserve"> and (ii) </w:t>
      </w:r>
      <w:r w:rsidR="00F32391" w:rsidRPr="006F0F22">
        <w:rPr>
          <w:i/>
          <w:sz w:val="22"/>
          <w:szCs w:val="22"/>
          <w:lang w:val="en-GB"/>
        </w:rPr>
        <w:t>extending the coverage of effective PA management by IBAP</w:t>
      </w:r>
      <w:r w:rsidR="00DA5A53" w:rsidRPr="006F0F22">
        <w:rPr>
          <w:i/>
          <w:sz w:val="22"/>
          <w:szCs w:val="22"/>
          <w:lang w:val="en-GB"/>
        </w:rPr>
        <w:t xml:space="preserve"> to a critically threatened </w:t>
      </w:r>
      <w:r w:rsidR="00112BFD" w:rsidRPr="006F0F22">
        <w:rPr>
          <w:i/>
          <w:sz w:val="22"/>
          <w:szCs w:val="22"/>
          <w:lang w:val="en-GB"/>
        </w:rPr>
        <w:t xml:space="preserve">priority </w:t>
      </w:r>
      <w:r w:rsidR="00DA5A53" w:rsidRPr="006F0F22">
        <w:rPr>
          <w:i/>
          <w:sz w:val="22"/>
          <w:szCs w:val="22"/>
          <w:lang w:val="en-GB"/>
        </w:rPr>
        <w:t>PA</w:t>
      </w:r>
      <w:r w:rsidR="00D1350D" w:rsidRPr="006F0F22">
        <w:rPr>
          <w:i/>
          <w:sz w:val="22"/>
          <w:szCs w:val="22"/>
          <w:lang w:val="en-GB"/>
        </w:rPr>
        <w:t xml:space="preserve"> while developing </w:t>
      </w:r>
      <w:r w:rsidR="00264788" w:rsidRPr="006F0F22">
        <w:rPr>
          <w:i/>
          <w:sz w:val="22"/>
          <w:szCs w:val="22"/>
          <w:lang w:val="en-GB"/>
        </w:rPr>
        <w:t xml:space="preserve">new operational frameworks looking at </w:t>
      </w:r>
      <w:r w:rsidR="00BC21FA" w:rsidRPr="006F0F22">
        <w:rPr>
          <w:i/>
          <w:sz w:val="22"/>
          <w:szCs w:val="22"/>
          <w:lang w:val="en-GB"/>
        </w:rPr>
        <w:t>enhanced e</w:t>
      </w:r>
      <w:r w:rsidR="00264788" w:rsidRPr="006F0F22">
        <w:rPr>
          <w:i/>
          <w:sz w:val="22"/>
          <w:szCs w:val="22"/>
          <w:lang w:val="en-GB"/>
        </w:rPr>
        <w:t xml:space="preserve">fficiencies through the involvement of </w:t>
      </w:r>
      <w:r w:rsidR="00D1350D" w:rsidRPr="006F0F22">
        <w:rPr>
          <w:i/>
          <w:sz w:val="22"/>
          <w:szCs w:val="22"/>
          <w:lang w:val="en-GB"/>
        </w:rPr>
        <w:t xml:space="preserve">DGFF and </w:t>
      </w:r>
      <w:r w:rsidR="00264788" w:rsidRPr="006F0F22">
        <w:rPr>
          <w:i/>
          <w:sz w:val="22"/>
          <w:szCs w:val="22"/>
          <w:lang w:val="en-GB"/>
        </w:rPr>
        <w:t>local stakeholders</w:t>
      </w:r>
      <w:r w:rsidR="00112BFD" w:rsidRPr="006F0F22">
        <w:rPr>
          <w:sz w:val="22"/>
          <w:szCs w:val="22"/>
          <w:lang w:val="en-GB"/>
        </w:rPr>
        <w:t xml:space="preserve">. </w:t>
      </w:r>
      <w:r w:rsidR="00755FD4" w:rsidRPr="006F0F22">
        <w:rPr>
          <w:sz w:val="22"/>
          <w:szCs w:val="22"/>
          <w:lang w:val="en-GB"/>
        </w:rPr>
        <w:t>This will be an important</w:t>
      </w:r>
      <w:r w:rsidRPr="006F0F22">
        <w:rPr>
          <w:sz w:val="22"/>
          <w:szCs w:val="22"/>
          <w:lang w:val="en-GB"/>
        </w:rPr>
        <w:t xml:space="preserve"> next step towards </w:t>
      </w:r>
      <w:r w:rsidR="004D3AB1" w:rsidRPr="006F0F22">
        <w:rPr>
          <w:sz w:val="22"/>
          <w:szCs w:val="22"/>
          <w:lang w:val="en-GB"/>
        </w:rPr>
        <w:t>a</w:t>
      </w:r>
      <w:r w:rsidR="00BD2566" w:rsidRPr="006F0F22">
        <w:rPr>
          <w:sz w:val="22"/>
          <w:szCs w:val="22"/>
          <w:lang w:val="en-GB"/>
        </w:rPr>
        <w:t xml:space="preserve"> </w:t>
      </w:r>
      <w:r w:rsidR="004D3AB1" w:rsidRPr="006F0F22">
        <w:rPr>
          <w:sz w:val="22"/>
          <w:szCs w:val="22"/>
          <w:u w:val="single"/>
          <w:lang w:val="en-GB"/>
        </w:rPr>
        <w:t>well-funded Protected Area system</w:t>
      </w:r>
      <w:r w:rsidR="004D3AB1" w:rsidRPr="006F0F22">
        <w:rPr>
          <w:sz w:val="22"/>
          <w:szCs w:val="22"/>
          <w:lang w:val="en-GB"/>
        </w:rPr>
        <w:t xml:space="preserve"> that conserves Guinea Bissau’s highest</w:t>
      </w:r>
      <w:r w:rsidR="00BD2566" w:rsidRPr="006F0F22">
        <w:rPr>
          <w:sz w:val="22"/>
          <w:szCs w:val="22"/>
          <w:lang w:val="en-GB"/>
        </w:rPr>
        <w:t xml:space="preserve"> </w:t>
      </w:r>
      <w:r w:rsidR="004D3AB1" w:rsidRPr="006F0F22">
        <w:rPr>
          <w:sz w:val="22"/>
          <w:szCs w:val="22"/>
          <w:lang w:val="en-GB"/>
        </w:rPr>
        <w:t>biodiversity value ecosystems through PAs that are effectively managed in a cost effective manner.</w:t>
      </w:r>
      <w:r w:rsidRPr="006F0F22">
        <w:rPr>
          <w:sz w:val="22"/>
          <w:szCs w:val="22"/>
          <w:lang w:val="en-GB"/>
        </w:rPr>
        <w:t xml:space="preserve"> </w:t>
      </w:r>
    </w:p>
    <w:p w:rsidR="00CB5362" w:rsidRPr="006F0F22" w:rsidRDefault="00CB5362" w:rsidP="0098031A">
      <w:pPr>
        <w:pStyle w:val="Footer"/>
        <w:tabs>
          <w:tab w:val="clear" w:pos="4320"/>
          <w:tab w:val="clear" w:pos="8640"/>
        </w:tabs>
        <w:ind w:left="0"/>
        <w:contextualSpacing/>
        <w:jc w:val="both"/>
        <w:rPr>
          <w:sz w:val="22"/>
          <w:szCs w:val="22"/>
          <w:lang w:val="en-GB"/>
        </w:rPr>
      </w:pPr>
    </w:p>
    <w:p w:rsidR="00F216AD" w:rsidRPr="006F0F22" w:rsidRDefault="002F75D6" w:rsidP="003064FA">
      <w:pPr>
        <w:pStyle w:val="Footer"/>
        <w:numPr>
          <w:ilvl w:val="0"/>
          <w:numId w:val="24"/>
        </w:numPr>
        <w:tabs>
          <w:tab w:val="clear" w:pos="4320"/>
          <w:tab w:val="clear" w:pos="8640"/>
        </w:tabs>
        <w:ind w:left="0" w:firstLine="0"/>
        <w:contextualSpacing/>
        <w:jc w:val="both"/>
        <w:rPr>
          <w:sz w:val="22"/>
          <w:szCs w:val="22"/>
          <w:lang w:val="en-GB"/>
        </w:rPr>
      </w:pPr>
      <w:r w:rsidRPr="006F0F22">
        <w:rPr>
          <w:sz w:val="22"/>
          <w:szCs w:val="22"/>
          <w:lang w:val="en-GB"/>
        </w:rPr>
        <w:t>As part of the first approach</w:t>
      </w:r>
      <w:r w:rsidR="0005145D" w:rsidRPr="006F0F22">
        <w:rPr>
          <w:sz w:val="22"/>
          <w:szCs w:val="22"/>
          <w:lang w:val="en-GB"/>
        </w:rPr>
        <w:t>,</w:t>
      </w:r>
      <w:r w:rsidRPr="006F0F22">
        <w:rPr>
          <w:sz w:val="22"/>
          <w:szCs w:val="22"/>
          <w:lang w:val="en-GB"/>
        </w:rPr>
        <w:t xml:space="preserve"> </w:t>
      </w:r>
      <w:r w:rsidR="007B168B" w:rsidRPr="006F0F22">
        <w:rPr>
          <w:sz w:val="22"/>
          <w:szCs w:val="22"/>
          <w:lang w:val="en-GB"/>
        </w:rPr>
        <w:t xml:space="preserve">the project </w:t>
      </w:r>
      <w:r w:rsidR="00E94AB7" w:rsidRPr="006F0F22">
        <w:rPr>
          <w:sz w:val="22"/>
          <w:szCs w:val="22"/>
          <w:lang w:val="en-GB"/>
        </w:rPr>
        <w:t xml:space="preserve">with </w:t>
      </w:r>
      <w:r w:rsidR="007B168B" w:rsidRPr="006F0F22">
        <w:rPr>
          <w:sz w:val="22"/>
          <w:szCs w:val="22"/>
          <w:lang w:val="en-GB"/>
        </w:rPr>
        <w:t xml:space="preserve">dedicated co-finance from </w:t>
      </w:r>
      <w:r w:rsidR="008511D6" w:rsidRPr="006F0F22">
        <w:rPr>
          <w:sz w:val="22"/>
          <w:szCs w:val="22"/>
          <w:lang w:val="en-GB"/>
        </w:rPr>
        <w:t xml:space="preserve">the </w:t>
      </w:r>
      <w:r w:rsidR="007B168B" w:rsidRPr="006F0F22">
        <w:rPr>
          <w:sz w:val="22"/>
          <w:szCs w:val="22"/>
          <w:lang w:val="en-GB"/>
        </w:rPr>
        <w:t xml:space="preserve">World Bank/IDA </w:t>
      </w:r>
      <w:r w:rsidR="00E94AB7" w:rsidRPr="006F0F22">
        <w:rPr>
          <w:sz w:val="22"/>
          <w:szCs w:val="22"/>
          <w:lang w:val="en-GB"/>
        </w:rPr>
        <w:t xml:space="preserve">and WAMER </w:t>
      </w:r>
      <w:r w:rsidR="007B168B" w:rsidRPr="006F0F22">
        <w:rPr>
          <w:sz w:val="22"/>
          <w:szCs w:val="22"/>
          <w:lang w:val="en-GB"/>
        </w:rPr>
        <w:t>project</w:t>
      </w:r>
      <w:r w:rsidR="00E94AB7" w:rsidRPr="006F0F22">
        <w:rPr>
          <w:sz w:val="22"/>
          <w:szCs w:val="22"/>
          <w:lang w:val="en-GB"/>
        </w:rPr>
        <w:t>s</w:t>
      </w:r>
      <w:r w:rsidR="007B168B" w:rsidRPr="006F0F22">
        <w:rPr>
          <w:sz w:val="22"/>
          <w:szCs w:val="22"/>
          <w:lang w:val="en-GB"/>
        </w:rPr>
        <w:t xml:space="preserve"> will lead to completion of management systems, of due diligence and compliance procedures triggering the direct capitalisation of the FBG</w:t>
      </w:r>
      <w:r w:rsidR="00DC73C9" w:rsidRPr="006F0F22">
        <w:rPr>
          <w:sz w:val="22"/>
          <w:szCs w:val="22"/>
          <w:lang w:val="en-GB"/>
        </w:rPr>
        <w:t>:</w:t>
      </w:r>
      <w:r w:rsidR="007B168B" w:rsidRPr="006F0F22">
        <w:rPr>
          <w:sz w:val="22"/>
          <w:szCs w:val="22"/>
          <w:lang w:val="en-GB"/>
        </w:rPr>
        <w:t xml:space="preserve"> </w:t>
      </w:r>
      <w:r w:rsidRPr="006F0F22">
        <w:rPr>
          <w:sz w:val="22"/>
          <w:szCs w:val="22"/>
          <w:lang w:val="en-GB"/>
        </w:rPr>
        <w:t xml:space="preserve">GEF </w:t>
      </w:r>
      <w:r w:rsidR="00DC73C9" w:rsidRPr="006F0F22">
        <w:rPr>
          <w:sz w:val="22"/>
          <w:szCs w:val="22"/>
          <w:lang w:val="en-GB"/>
        </w:rPr>
        <w:t xml:space="preserve">project </w:t>
      </w:r>
      <w:r w:rsidRPr="006F0F22">
        <w:rPr>
          <w:sz w:val="22"/>
          <w:szCs w:val="22"/>
          <w:lang w:val="en-GB"/>
        </w:rPr>
        <w:t>fund</w:t>
      </w:r>
      <w:r w:rsidR="00BB5399" w:rsidRPr="006F0F22">
        <w:rPr>
          <w:sz w:val="22"/>
          <w:szCs w:val="22"/>
          <w:lang w:val="en-GB"/>
        </w:rPr>
        <w:t xml:space="preserve">ing </w:t>
      </w:r>
      <w:r w:rsidR="00DC73C9" w:rsidRPr="006F0F22">
        <w:rPr>
          <w:sz w:val="22"/>
          <w:szCs w:val="22"/>
          <w:lang w:val="en-GB"/>
        </w:rPr>
        <w:t xml:space="preserve">will </w:t>
      </w:r>
      <w:r w:rsidR="00BB5399" w:rsidRPr="006F0F22">
        <w:rPr>
          <w:sz w:val="22"/>
          <w:szCs w:val="22"/>
          <w:lang w:val="en-GB"/>
        </w:rPr>
        <w:t>initiate the capitalis</w:t>
      </w:r>
      <w:r w:rsidRPr="006F0F22">
        <w:rPr>
          <w:sz w:val="22"/>
          <w:szCs w:val="22"/>
          <w:lang w:val="en-GB"/>
        </w:rPr>
        <w:t xml:space="preserve">ation of the </w:t>
      </w:r>
      <w:r w:rsidR="008A4887" w:rsidRPr="006F0F22">
        <w:rPr>
          <w:sz w:val="22"/>
          <w:szCs w:val="22"/>
          <w:lang w:val="en-GB"/>
        </w:rPr>
        <w:t>FBG</w:t>
      </w:r>
      <w:r w:rsidRPr="006F0F22">
        <w:rPr>
          <w:sz w:val="22"/>
          <w:szCs w:val="22"/>
          <w:lang w:val="en-GB"/>
        </w:rPr>
        <w:t xml:space="preserve"> </w:t>
      </w:r>
      <w:r w:rsidR="00C41D54" w:rsidRPr="006F0F22">
        <w:rPr>
          <w:sz w:val="22"/>
          <w:szCs w:val="22"/>
          <w:lang w:val="en-GB"/>
        </w:rPr>
        <w:t xml:space="preserve">endowment </w:t>
      </w:r>
      <w:r w:rsidRPr="006F0F22">
        <w:rPr>
          <w:sz w:val="22"/>
          <w:szCs w:val="22"/>
          <w:lang w:val="en-GB"/>
        </w:rPr>
        <w:t xml:space="preserve">and </w:t>
      </w:r>
      <w:r w:rsidR="00A17D8F" w:rsidRPr="006F0F22">
        <w:rPr>
          <w:sz w:val="22"/>
          <w:szCs w:val="22"/>
          <w:lang w:val="en-GB"/>
        </w:rPr>
        <w:t xml:space="preserve">thereby </w:t>
      </w:r>
      <w:r w:rsidRPr="006F0F22">
        <w:rPr>
          <w:sz w:val="22"/>
          <w:szCs w:val="22"/>
          <w:lang w:val="en-GB"/>
        </w:rPr>
        <w:t xml:space="preserve">catalyse the long-awaited leveraging of funds from the other committed </w:t>
      </w:r>
      <w:r w:rsidR="00A17D8F" w:rsidRPr="006F0F22">
        <w:rPr>
          <w:sz w:val="22"/>
          <w:szCs w:val="22"/>
          <w:lang w:val="en-GB"/>
        </w:rPr>
        <w:t xml:space="preserve">co-financiers </w:t>
      </w:r>
      <w:r w:rsidRPr="006F0F22">
        <w:rPr>
          <w:sz w:val="22"/>
          <w:szCs w:val="22"/>
          <w:lang w:val="en-GB"/>
        </w:rPr>
        <w:t>as a first crucial step towards the development of financial sustainability for the national PA system. During the preparation of this PIF</w:t>
      </w:r>
      <w:r w:rsidR="00942BAD" w:rsidRPr="006F0F22">
        <w:rPr>
          <w:sz w:val="22"/>
          <w:szCs w:val="22"/>
          <w:lang w:val="en-GB"/>
        </w:rPr>
        <w:t>,</w:t>
      </w:r>
      <w:r w:rsidRPr="006F0F22">
        <w:rPr>
          <w:sz w:val="22"/>
          <w:szCs w:val="22"/>
          <w:lang w:val="en-GB"/>
        </w:rPr>
        <w:t xml:space="preserve"> negotiations for co-funding this capitalisation </w:t>
      </w:r>
      <w:r w:rsidR="003064FA" w:rsidRPr="006F0F22">
        <w:rPr>
          <w:sz w:val="22"/>
          <w:szCs w:val="22"/>
          <w:lang w:val="en-GB"/>
        </w:rPr>
        <w:t>to the height of $7,</w:t>
      </w:r>
      <w:r w:rsidR="00C53B1D" w:rsidRPr="006F0F22">
        <w:rPr>
          <w:sz w:val="22"/>
          <w:szCs w:val="22"/>
          <w:lang w:val="en-GB"/>
        </w:rPr>
        <w:t>3</w:t>
      </w:r>
      <w:r w:rsidR="003064FA" w:rsidRPr="006F0F22">
        <w:rPr>
          <w:sz w:val="22"/>
          <w:szCs w:val="22"/>
          <w:lang w:val="en-GB"/>
        </w:rPr>
        <w:t xml:space="preserve">00,000 </w:t>
      </w:r>
      <w:r w:rsidRPr="006F0F22">
        <w:rPr>
          <w:sz w:val="22"/>
          <w:szCs w:val="22"/>
          <w:lang w:val="en-GB"/>
        </w:rPr>
        <w:t>ha</w:t>
      </w:r>
      <w:r w:rsidR="00A17D8F" w:rsidRPr="006F0F22">
        <w:rPr>
          <w:sz w:val="22"/>
          <w:szCs w:val="22"/>
          <w:lang w:val="en-GB"/>
        </w:rPr>
        <w:t xml:space="preserve">ve </w:t>
      </w:r>
      <w:r w:rsidR="003064FA" w:rsidRPr="006F0F22">
        <w:rPr>
          <w:sz w:val="22"/>
          <w:szCs w:val="22"/>
          <w:lang w:val="en-GB"/>
        </w:rPr>
        <w:t xml:space="preserve">far </w:t>
      </w:r>
      <w:r w:rsidR="00A17D8F" w:rsidRPr="006F0F22">
        <w:rPr>
          <w:sz w:val="22"/>
          <w:szCs w:val="22"/>
          <w:lang w:val="en-GB"/>
        </w:rPr>
        <w:t>advanced</w:t>
      </w:r>
      <w:r w:rsidR="00625C31" w:rsidRPr="006F0F22">
        <w:rPr>
          <w:sz w:val="22"/>
          <w:szCs w:val="22"/>
          <w:lang w:val="en-GB"/>
        </w:rPr>
        <w:t>, bringing the total capitalisation through the project to at least US$ 8,600,000 if the US$ 1,300,000 of GEF resources is added</w:t>
      </w:r>
      <w:r w:rsidR="00A17D8F" w:rsidRPr="006F0F22">
        <w:rPr>
          <w:sz w:val="22"/>
          <w:szCs w:val="22"/>
          <w:lang w:val="en-GB"/>
        </w:rPr>
        <w:t>.</w:t>
      </w:r>
      <w:r w:rsidR="00942BAD" w:rsidRPr="006F0F22">
        <w:rPr>
          <w:sz w:val="22"/>
          <w:szCs w:val="22"/>
          <w:lang w:val="en-GB"/>
        </w:rPr>
        <w:t xml:space="preserve"> </w:t>
      </w:r>
    </w:p>
    <w:p w:rsidR="00F216AD" w:rsidRPr="006F0F22" w:rsidRDefault="00F216AD" w:rsidP="00F216AD">
      <w:pPr>
        <w:pStyle w:val="Footer"/>
        <w:tabs>
          <w:tab w:val="clear" w:pos="4320"/>
          <w:tab w:val="clear" w:pos="8640"/>
        </w:tabs>
        <w:ind w:left="0"/>
        <w:contextualSpacing/>
        <w:jc w:val="both"/>
        <w:rPr>
          <w:color w:val="8DB3E2" w:themeColor="text2" w:themeTint="66"/>
          <w:sz w:val="22"/>
          <w:szCs w:val="22"/>
          <w:lang w:val="en-GB"/>
        </w:rPr>
      </w:pPr>
    </w:p>
    <w:p w:rsidR="0098031A" w:rsidRPr="006F0F22" w:rsidRDefault="00F216AD" w:rsidP="003064FA">
      <w:pPr>
        <w:pStyle w:val="Footer"/>
        <w:numPr>
          <w:ilvl w:val="0"/>
          <w:numId w:val="24"/>
        </w:numPr>
        <w:tabs>
          <w:tab w:val="clear" w:pos="4320"/>
          <w:tab w:val="clear" w:pos="8640"/>
        </w:tabs>
        <w:ind w:left="0" w:firstLine="0"/>
        <w:contextualSpacing/>
        <w:jc w:val="both"/>
        <w:rPr>
          <w:sz w:val="22"/>
          <w:szCs w:val="22"/>
          <w:lang w:val="en-GB"/>
        </w:rPr>
      </w:pPr>
      <w:r w:rsidRPr="006F0F22">
        <w:rPr>
          <w:sz w:val="22"/>
          <w:szCs w:val="22"/>
          <w:lang w:val="en-GB"/>
        </w:rPr>
        <w:t>T</w:t>
      </w:r>
      <w:r w:rsidR="002F75D6" w:rsidRPr="006F0F22">
        <w:rPr>
          <w:sz w:val="22"/>
          <w:szCs w:val="22"/>
          <w:lang w:val="en-GB"/>
        </w:rPr>
        <w:t>he second approach would pilot new operational efficiencies in a pilot site</w:t>
      </w:r>
      <w:r w:rsidR="00CF5B6A" w:rsidRPr="006F0F22">
        <w:rPr>
          <w:sz w:val="22"/>
          <w:szCs w:val="22"/>
          <w:lang w:val="en-GB"/>
        </w:rPr>
        <w:t>,</w:t>
      </w:r>
      <w:r w:rsidR="00942BAD" w:rsidRPr="006F0F22">
        <w:rPr>
          <w:sz w:val="22"/>
          <w:szCs w:val="22"/>
          <w:lang w:val="en-GB"/>
        </w:rPr>
        <w:t xml:space="preserve"> </w:t>
      </w:r>
      <w:r w:rsidR="00CF5B6A" w:rsidRPr="006F0F22">
        <w:rPr>
          <w:sz w:val="22"/>
          <w:szCs w:val="22"/>
          <w:lang w:val="en-GB"/>
        </w:rPr>
        <w:t xml:space="preserve">by improving PA management capacity and effectiveness in Cantanhez NP. In parallel, the project will support the collaborative management of vital buffer zones and </w:t>
      </w:r>
      <w:r w:rsidR="00291E1C" w:rsidRPr="006F0F22">
        <w:rPr>
          <w:sz w:val="22"/>
          <w:szCs w:val="22"/>
          <w:lang w:val="en-GB"/>
        </w:rPr>
        <w:t xml:space="preserve">adjacent areas </w:t>
      </w:r>
      <w:r w:rsidR="00CF5B6A" w:rsidRPr="006F0F22">
        <w:rPr>
          <w:sz w:val="22"/>
          <w:szCs w:val="22"/>
          <w:lang w:val="en-GB"/>
        </w:rPr>
        <w:t>in close coordination with DGFF and other key stakeholders</w:t>
      </w:r>
      <w:r w:rsidRPr="006F0F22">
        <w:rPr>
          <w:sz w:val="22"/>
          <w:szCs w:val="22"/>
          <w:lang w:val="en-GB"/>
        </w:rPr>
        <w:t xml:space="preserve"> – including through links with a REDD project expected to generate revenue for forest/biodiversity conservation and local communities</w:t>
      </w:r>
      <w:r w:rsidR="00CF5B6A" w:rsidRPr="006F0F22">
        <w:rPr>
          <w:sz w:val="22"/>
          <w:szCs w:val="22"/>
          <w:lang w:val="en-GB"/>
        </w:rPr>
        <w:t xml:space="preserve">. </w:t>
      </w:r>
      <w:r w:rsidR="00D27C50" w:rsidRPr="006F0F22">
        <w:rPr>
          <w:sz w:val="22"/>
          <w:szCs w:val="22"/>
          <w:lang w:val="en-GB"/>
        </w:rPr>
        <w:t xml:space="preserve">This would also lead to strengthened institutions gradually reaching consensus on conservation approaches, including their social and economic dimension. </w:t>
      </w:r>
      <w:r w:rsidR="00CF5B6A" w:rsidRPr="006F0F22">
        <w:rPr>
          <w:sz w:val="22"/>
          <w:szCs w:val="22"/>
          <w:lang w:val="en-GB"/>
        </w:rPr>
        <w:t xml:space="preserve">Finally, systems and tools successfully demonstrated by the project in Cantanhez NP, </w:t>
      </w:r>
      <w:r w:rsidR="004E475B" w:rsidRPr="006F0F22">
        <w:rPr>
          <w:sz w:val="22"/>
          <w:szCs w:val="22"/>
          <w:lang w:val="en-GB"/>
        </w:rPr>
        <w:t xml:space="preserve">especially regarding the management of forest biodiversity, </w:t>
      </w:r>
      <w:r w:rsidR="00CF5B6A" w:rsidRPr="006F0F22">
        <w:rPr>
          <w:sz w:val="22"/>
          <w:szCs w:val="22"/>
          <w:lang w:val="en-GB"/>
        </w:rPr>
        <w:t xml:space="preserve">will be generalised to support the ongoing and planned expansion of the </w:t>
      </w:r>
      <w:r w:rsidR="004E475B" w:rsidRPr="006F0F22">
        <w:rPr>
          <w:sz w:val="22"/>
          <w:szCs w:val="22"/>
          <w:lang w:val="en-GB"/>
        </w:rPr>
        <w:t xml:space="preserve">forest </w:t>
      </w:r>
      <w:r w:rsidR="00CF5B6A" w:rsidRPr="006F0F22">
        <w:rPr>
          <w:sz w:val="22"/>
          <w:szCs w:val="22"/>
          <w:lang w:val="en-GB"/>
        </w:rPr>
        <w:t>PA estate in Guinea Bissau.</w:t>
      </w:r>
    </w:p>
    <w:p w:rsidR="0098031A" w:rsidRPr="006F0F22" w:rsidRDefault="0098031A" w:rsidP="0098031A">
      <w:pPr>
        <w:pStyle w:val="Footer"/>
        <w:tabs>
          <w:tab w:val="clear" w:pos="4320"/>
          <w:tab w:val="clear" w:pos="8640"/>
        </w:tabs>
        <w:ind w:left="0"/>
        <w:contextualSpacing/>
        <w:jc w:val="both"/>
        <w:rPr>
          <w:sz w:val="22"/>
          <w:szCs w:val="22"/>
          <w:lang w:val="en-GB"/>
        </w:rPr>
      </w:pPr>
    </w:p>
    <w:p w:rsidR="00055E70" w:rsidRPr="006F0F22" w:rsidRDefault="003E2AD2" w:rsidP="00055E70">
      <w:pPr>
        <w:pStyle w:val="Footer"/>
        <w:numPr>
          <w:ilvl w:val="0"/>
          <w:numId w:val="24"/>
        </w:numPr>
        <w:tabs>
          <w:tab w:val="clear" w:pos="4320"/>
          <w:tab w:val="clear" w:pos="8640"/>
        </w:tabs>
        <w:ind w:left="0" w:firstLine="0"/>
        <w:contextualSpacing/>
        <w:jc w:val="both"/>
        <w:rPr>
          <w:sz w:val="22"/>
          <w:szCs w:val="22"/>
          <w:lang w:val="en-GB"/>
        </w:rPr>
      </w:pPr>
      <w:r w:rsidRPr="006F0F22">
        <w:rPr>
          <w:sz w:val="22"/>
          <w:szCs w:val="22"/>
          <w:u w:val="single"/>
          <w:lang w:val="en-GB"/>
        </w:rPr>
        <w:t>The Cantanhez NP</w:t>
      </w:r>
      <w:r w:rsidRPr="006F0F22">
        <w:rPr>
          <w:sz w:val="22"/>
          <w:szCs w:val="22"/>
          <w:lang w:val="en-GB"/>
        </w:rPr>
        <w:t xml:space="preserve"> </w:t>
      </w:r>
      <w:r w:rsidR="004E475B" w:rsidRPr="006F0F22">
        <w:rPr>
          <w:sz w:val="22"/>
          <w:szCs w:val="22"/>
          <w:lang w:val="en-GB"/>
        </w:rPr>
        <w:t xml:space="preserve">will be targeted by this project </w:t>
      </w:r>
      <w:r w:rsidR="00625CCB" w:rsidRPr="006F0F22">
        <w:rPr>
          <w:sz w:val="22"/>
          <w:szCs w:val="22"/>
          <w:lang w:val="en-GB"/>
        </w:rPr>
        <w:t>for a number of reasons</w:t>
      </w:r>
      <w:r w:rsidR="007B6695" w:rsidRPr="006F0F22">
        <w:rPr>
          <w:sz w:val="22"/>
          <w:szCs w:val="22"/>
          <w:lang w:val="en-GB"/>
        </w:rPr>
        <w:t xml:space="preserve">. </w:t>
      </w:r>
      <w:r w:rsidR="0010562A" w:rsidRPr="006F0F22">
        <w:rPr>
          <w:sz w:val="22"/>
          <w:szCs w:val="22"/>
          <w:lang w:val="en-GB"/>
        </w:rPr>
        <w:t xml:space="preserve">The NP </w:t>
      </w:r>
      <w:r w:rsidR="00350ED3" w:rsidRPr="006F0F22">
        <w:rPr>
          <w:sz w:val="22"/>
          <w:szCs w:val="22"/>
          <w:lang w:val="en-GB"/>
        </w:rPr>
        <w:t>is critically important for the safeguard of the most important remnants of tall semi-humid forest in Guinea-Bissau</w:t>
      </w:r>
      <w:r w:rsidR="00DA0411" w:rsidRPr="006F0F22">
        <w:rPr>
          <w:sz w:val="22"/>
          <w:szCs w:val="22"/>
          <w:lang w:val="en-GB"/>
        </w:rPr>
        <w:t xml:space="preserve"> occurring in 14 patches in the PA. It</w:t>
      </w:r>
      <w:r w:rsidR="00684520" w:rsidRPr="006F0F22">
        <w:rPr>
          <w:sz w:val="22"/>
          <w:szCs w:val="22"/>
          <w:lang w:val="en-GB"/>
        </w:rPr>
        <w:t xml:space="preserve"> has therefore been identified by IBAP as the topmost priority for further strengthening the country’s PA network, in line with the </w:t>
      </w:r>
      <w:r w:rsidR="00684520" w:rsidRPr="006F0F22">
        <w:rPr>
          <w:sz w:val="22"/>
          <w:szCs w:val="22"/>
          <w:lang w:val="en-GB"/>
        </w:rPr>
        <w:lastRenderedPageBreak/>
        <w:t>2007-2011 National Strategy for Protected Areas and Biodiversity Conservation (NSPAB)</w:t>
      </w:r>
      <w:r w:rsidR="00350ED3" w:rsidRPr="006F0F22">
        <w:rPr>
          <w:sz w:val="22"/>
          <w:szCs w:val="22"/>
          <w:lang w:val="en-GB"/>
        </w:rPr>
        <w:t xml:space="preserve">. </w:t>
      </w:r>
      <w:r w:rsidR="00684520" w:rsidRPr="006F0F22">
        <w:rPr>
          <w:sz w:val="22"/>
          <w:szCs w:val="22"/>
          <w:lang w:val="en-GB"/>
        </w:rPr>
        <w:t>While t</w:t>
      </w:r>
      <w:r w:rsidR="007B6695" w:rsidRPr="006F0F22">
        <w:rPr>
          <w:sz w:val="22"/>
          <w:szCs w:val="22"/>
          <w:lang w:val="en-GB"/>
        </w:rPr>
        <w:t xml:space="preserve">he PA </w:t>
      </w:r>
      <w:r w:rsidR="00684520" w:rsidRPr="006F0F22">
        <w:rPr>
          <w:sz w:val="22"/>
          <w:szCs w:val="22"/>
          <w:lang w:val="en-GB"/>
        </w:rPr>
        <w:t>w</w:t>
      </w:r>
      <w:r w:rsidR="007B6695" w:rsidRPr="006F0F22">
        <w:rPr>
          <w:sz w:val="22"/>
          <w:szCs w:val="22"/>
          <w:lang w:val="en-GB"/>
        </w:rPr>
        <w:t xml:space="preserve">as legally </w:t>
      </w:r>
      <w:r w:rsidR="00A42D85" w:rsidRPr="006F0F22">
        <w:rPr>
          <w:sz w:val="22"/>
          <w:szCs w:val="22"/>
          <w:lang w:val="en-GB"/>
        </w:rPr>
        <w:t>declared</w:t>
      </w:r>
      <w:r w:rsidR="00684520" w:rsidRPr="006F0F22">
        <w:rPr>
          <w:sz w:val="22"/>
          <w:szCs w:val="22"/>
          <w:lang w:val="en-GB"/>
        </w:rPr>
        <w:t xml:space="preserve"> in 2008</w:t>
      </w:r>
      <w:r w:rsidR="00A42D85" w:rsidRPr="006F0F22">
        <w:rPr>
          <w:sz w:val="22"/>
          <w:szCs w:val="22"/>
          <w:lang w:val="en-GB"/>
        </w:rPr>
        <w:t xml:space="preserve">, </w:t>
      </w:r>
      <w:r w:rsidR="007B6695" w:rsidRPr="006F0F22">
        <w:rPr>
          <w:sz w:val="22"/>
          <w:szCs w:val="22"/>
          <w:lang w:val="en-GB"/>
        </w:rPr>
        <w:t xml:space="preserve">almost no financial resources have yet been mobilised </w:t>
      </w:r>
      <w:r w:rsidR="006B7720" w:rsidRPr="006F0F22">
        <w:rPr>
          <w:sz w:val="22"/>
          <w:szCs w:val="22"/>
          <w:lang w:val="en-GB"/>
        </w:rPr>
        <w:t xml:space="preserve">for </w:t>
      </w:r>
      <w:r w:rsidR="00055E70" w:rsidRPr="006F0F22">
        <w:rPr>
          <w:sz w:val="22"/>
          <w:szCs w:val="22"/>
          <w:lang w:val="en-GB"/>
        </w:rPr>
        <w:t>the government (</w:t>
      </w:r>
      <w:r w:rsidR="006B7720" w:rsidRPr="006F0F22">
        <w:rPr>
          <w:sz w:val="22"/>
          <w:szCs w:val="22"/>
          <w:lang w:val="en-GB"/>
        </w:rPr>
        <w:t>IBAP</w:t>
      </w:r>
      <w:r w:rsidR="00055E70" w:rsidRPr="006F0F22">
        <w:rPr>
          <w:sz w:val="22"/>
          <w:szCs w:val="22"/>
          <w:lang w:val="en-GB"/>
        </w:rPr>
        <w:t xml:space="preserve">) </w:t>
      </w:r>
      <w:r w:rsidR="006B7720" w:rsidRPr="006F0F22">
        <w:rPr>
          <w:sz w:val="22"/>
          <w:szCs w:val="22"/>
          <w:lang w:val="en-GB"/>
        </w:rPr>
        <w:t xml:space="preserve">to intervene on the site, </w:t>
      </w:r>
      <w:r w:rsidR="007B6695" w:rsidRPr="006F0F22">
        <w:rPr>
          <w:sz w:val="22"/>
          <w:szCs w:val="22"/>
          <w:lang w:val="en-GB"/>
        </w:rPr>
        <w:t xml:space="preserve">due to the systemic funding limitations affecting the national PA network. </w:t>
      </w:r>
      <w:r w:rsidR="006B7720" w:rsidRPr="006F0F22">
        <w:rPr>
          <w:sz w:val="22"/>
          <w:szCs w:val="22"/>
          <w:lang w:val="en-GB"/>
        </w:rPr>
        <w:t>However, in view of past work through local NGOs</w:t>
      </w:r>
      <w:r w:rsidR="00B20972" w:rsidRPr="006F0F22">
        <w:rPr>
          <w:sz w:val="22"/>
          <w:szCs w:val="22"/>
          <w:lang w:val="en-GB"/>
        </w:rPr>
        <w:t xml:space="preserve"> (AD, FIAL, etc., see §</w:t>
      </w:r>
      <w:r w:rsidR="00055E70" w:rsidRPr="006F0F22">
        <w:rPr>
          <w:sz w:val="22"/>
          <w:szCs w:val="22"/>
          <w:lang w:val="en-GB"/>
        </w:rPr>
        <w:t xml:space="preserve"> </w:t>
      </w:r>
      <w:r w:rsidR="00ED38B3" w:rsidRPr="006F0F22">
        <w:rPr>
          <w:sz w:val="22"/>
          <w:szCs w:val="22"/>
          <w:lang w:val="en-GB"/>
        </w:rPr>
        <w:t>10</w:t>
      </w:r>
      <w:r w:rsidR="00B20972" w:rsidRPr="006F0F22">
        <w:rPr>
          <w:sz w:val="22"/>
          <w:szCs w:val="22"/>
          <w:lang w:val="en-GB"/>
        </w:rPr>
        <w:t>)</w:t>
      </w:r>
      <w:r w:rsidR="006B7720" w:rsidRPr="006F0F22">
        <w:rPr>
          <w:sz w:val="22"/>
          <w:szCs w:val="22"/>
          <w:lang w:val="en-GB"/>
        </w:rPr>
        <w:t>, i</w:t>
      </w:r>
      <w:r w:rsidR="00A42D85" w:rsidRPr="006F0F22">
        <w:rPr>
          <w:sz w:val="22"/>
          <w:szCs w:val="22"/>
          <w:lang w:val="en-GB"/>
        </w:rPr>
        <w:t xml:space="preserve">t is </w:t>
      </w:r>
      <w:r w:rsidR="006B7720" w:rsidRPr="006F0F22">
        <w:rPr>
          <w:sz w:val="22"/>
          <w:szCs w:val="22"/>
          <w:lang w:val="en-GB"/>
        </w:rPr>
        <w:t xml:space="preserve">a </w:t>
      </w:r>
      <w:r w:rsidR="00941BE7" w:rsidRPr="006F0F22">
        <w:rPr>
          <w:sz w:val="22"/>
          <w:szCs w:val="22"/>
          <w:lang w:val="en-GB"/>
        </w:rPr>
        <w:t>potentially</w:t>
      </w:r>
      <w:r w:rsidR="00C83C1C" w:rsidRPr="006F0F22">
        <w:rPr>
          <w:sz w:val="22"/>
          <w:szCs w:val="22"/>
          <w:lang w:val="en-GB"/>
        </w:rPr>
        <w:t xml:space="preserve"> </w:t>
      </w:r>
      <w:r w:rsidR="006B7720" w:rsidRPr="006F0F22">
        <w:rPr>
          <w:sz w:val="22"/>
          <w:szCs w:val="22"/>
          <w:lang w:val="en-GB"/>
        </w:rPr>
        <w:t xml:space="preserve">suitable </w:t>
      </w:r>
      <w:r w:rsidR="00A42D85" w:rsidRPr="006F0F22">
        <w:rPr>
          <w:sz w:val="22"/>
          <w:szCs w:val="22"/>
          <w:lang w:val="en-GB"/>
        </w:rPr>
        <w:t>demonstration site to develop</w:t>
      </w:r>
      <w:r w:rsidR="00350ED3" w:rsidRPr="006F0F22">
        <w:rPr>
          <w:sz w:val="22"/>
          <w:szCs w:val="22"/>
          <w:lang w:val="en-GB"/>
        </w:rPr>
        <w:t xml:space="preserve"> a</w:t>
      </w:r>
      <w:r w:rsidR="00A42D85" w:rsidRPr="006F0F22">
        <w:rPr>
          <w:sz w:val="22"/>
          <w:szCs w:val="22"/>
          <w:lang w:val="en-GB"/>
        </w:rPr>
        <w:t>nd test</w:t>
      </w:r>
      <w:r w:rsidR="00350ED3" w:rsidRPr="006F0F22">
        <w:rPr>
          <w:sz w:val="22"/>
          <w:szCs w:val="22"/>
          <w:lang w:val="en-GB"/>
        </w:rPr>
        <w:t xml:space="preserve"> a </w:t>
      </w:r>
      <w:r w:rsidR="00A42D85" w:rsidRPr="006F0F22">
        <w:rPr>
          <w:sz w:val="22"/>
          <w:szCs w:val="22"/>
          <w:lang w:val="en-GB"/>
        </w:rPr>
        <w:t xml:space="preserve">new </w:t>
      </w:r>
      <w:r w:rsidR="00350ED3" w:rsidRPr="006F0F22">
        <w:rPr>
          <w:sz w:val="22"/>
          <w:szCs w:val="22"/>
          <w:lang w:val="en-GB"/>
        </w:rPr>
        <w:t xml:space="preserve">model </w:t>
      </w:r>
      <w:r w:rsidR="00125294" w:rsidRPr="006F0F22">
        <w:rPr>
          <w:sz w:val="22"/>
          <w:szCs w:val="22"/>
          <w:lang w:val="en-GB"/>
        </w:rPr>
        <w:t xml:space="preserve">aimed at a efficient </w:t>
      </w:r>
      <w:r w:rsidR="00350ED3" w:rsidRPr="006F0F22">
        <w:rPr>
          <w:sz w:val="22"/>
          <w:szCs w:val="22"/>
          <w:lang w:val="en-GB"/>
        </w:rPr>
        <w:t>establish</w:t>
      </w:r>
      <w:r w:rsidR="00C83C1C" w:rsidRPr="006F0F22">
        <w:rPr>
          <w:sz w:val="22"/>
          <w:szCs w:val="22"/>
          <w:lang w:val="en-GB"/>
        </w:rPr>
        <w:t>ment of</w:t>
      </w:r>
      <w:r w:rsidR="00350ED3" w:rsidRPr="006F0F22">
        <w:rPr>
          <w:sz w:val="22"/>
          <w:szCs w:val="22"/>
          <w:lang w:val="en-GB"/>
        </w:rPr>
        <w:t xml:space="preserve"> </w:t>
      </w:r>
      <w:r w:rsidR="0000508D" w:rsidRPr="006F0F22">
        <w:rPr>
          <w:sz w:val="22"/>
          <w:szCs w:val="22"/>
          <w:lang w:val="en-GB"/>
        </w:rPr>
        <w:t>at least basic PA operations</w:t>
      </w:r>
      <w:r w:rsidR="00350ED3" w:rsidRPr="006F0F22">
        <w:rPr>
          <w:sz w:val="22"/>
          <w:szCs w:val="22"/>
          <w:lang w:val="en-GB"/>
        </w:rPr>
        <w:t xml:space="preserve"> under </w:t>
      </w:r>
      <w:r w:rsidR="00A42D85" w:rsidRPr="006F0F22">
        <w:rPr>
          <w:sz w:val="22"/>
          <w:szCs w:val="22"/>
          <w:lang w:val="en-GB"/>
        </w:rPr>
        <w:t xml:space="preserve">the </w:t>
      </w:r>
      <w:r w:rsidR="00350ED3" w:rsidRPr="006F0F22">
        <w:rPr>
          <w:sz w:val="22"/>
          <w:szCs w:val="22"/>
          <w:lang w:val="en-GB"/>
        </w:rPr>
        <w:t>severe funding limita</w:t>
      </w:r>
      <w:r w:rsidR="00A42D85" w:rsidRPr="006F0F22">
        <w:rPr>
          <w:sz w:val="22"/>
          <w:szCs w:val="22"/>
          <w:lang w:val="en-GB"/>
        </w:rPr>
        <w:t>tions prevailing in Guinea Bissau</w:t>
      </w:r>
      <w:r w:rsidR="00596B3E" w:rsidRPr="006F0F22">
        <w:rPr>
          <w:sz w:val="22"/>
          <w:szCs w:val="22"/>
          <w:lang w:val="en-GB"/>
        </w:rPr>
        <w:t xml:space="preserve"> (</w:t>
      </w:r>
      <w:r w:rsidR="00A42D85" w:rsidRPr="006F0F22">
        <w:rPr>
          <w:sz w:val="22"/>
          <w:szCs w:val="22"/>
          <w:lang w:val="en-GB"/>
        </w:rPr>
        <w:t xml:space="preserve">while ensuring at least minimal levels of sustainability through the activation of the </w:t>
      </w:r>
      <w:r w:rsidR="008A4887" w:rsidRPr="006F0F22">
        <w:rPr>
          <w:sz w:val="22"/>
          <w:szCs w:val="22"/>
          <w:lang w:val="en-GB"/>
        </w:rPr>
        <w:t>FBG</w:t>
      </w:r>
      <w:r w:rsidR="0068764C" w:rsidRPr="006F0F22">
        <w:rPr>
          <w:sz w:val="22"/>
          <w:szCs w:val="22"/>
          <w:lang w:val="en-GB"/>
        </w:rPr>
        <w:t xml:space="preserve"> endowment</w:t>
      </w:r>
      <w:r w:rsidR="00596B3E" w:rsidRPr="006F0F22">
        <w:rPr>
          <w:sz w:val="22"/>
          <w:szCs w:val="22"/>
          <w:lang w:val="en-GB"/>
        </w:rPr>
        <w:t>)</w:t>
      </w:r>
      <w:r w:rsidR="00A42D85" w:rsidRPr="006F0F22">
        <w:rPr>
          <w:sz w:val="22"/>
          <w:szCs w:val="22"/>
          <w:lang w:val="en-GB"/>
        </w:rPr>
        <w:t xml:space="preserve">. </w:t>
      </w:r>
      <w:r w:rsidR="003F73EA" w:rsidRPr="006F0F22">
        <w:rPr>
          <w:sz w:val="22"/>
          <w:szCs w:val="22"/>
          <w:lang w:val="en-GB"/>
        </w:rPr>
        <w:t xml:space="preserve">The intervention is at the same time necessary to start consolidating dispersed activities under a structured management system and clearly defined goals. </w:t>
      </w:r>
      <w:r w:rsidR="00A66A55" w:rsidRPr="006F0F22">
        <w:rPr>
          <w:sz w:val="22"/>
          <w:szCs w:val="22"/>
          <w:lang w:val="en-GB"/>
        </w:rPr>
        <w:t xml:space="preserve">In addition, the World Bank </w:t>
      </w:r>
      <w:r w:rsidR="00431A59" w:rsidRPr="006F0F22">
        <w:rPr>
          <w:sz w:val="22"/>
          <w:szCs w:val="22"/>
          <w:lang w:val="en-GB"/>
        </w:rPr>
        <w:t xml:space="preserve">($500,000 budget) </w:t>
      </w:r>
      <w:r w:rsidR="00A66A55" w:rsidRPr="006F0F22">
        <w:rPr>
          <w:sz w:val="22"/>
          <w:szCs w:val="22"/>
          <w:lang w:val="en-GB"/>
        </w:rPr>
        <w:t xml:space="preserve">has </w:t>
      </w:r>
      <w:r w:rsidR="0001031C" w:rsidRPr="006F0F22">
        <w:rPr>
          <w:sz w:val="22"/>
          <w:szCs w:val="22"/>
          <w:lang w:val="en-GB"/>
        </w:rPr>
        <w:t xml:space="preserve">since 2007 </w:t>
      </w:r>
      <w:r w:rsidR="00A66A55" w:rsidRPr="006F0F22">
        <w:rPr>
          <w:sz w:val="22"/>
          <w:szCs w:val="22"/>
          <w:lang w:val="en-GB"/>
        </w:rPr>
        <w:t xml:space="preserve">worked in the area to assess the potential of its forests to qualify for REDD carbon funding. The validation process on behalf of the Voluntary Carbon Standard is almost concluded wherefore the here-proposed project can prepare the ground by supporting improved PA management in order to achieve the avoided deforestation targets. The </w:t>
      </w:r>
      <w:r w:rsidR="00DA1D57" w:rsidRPr="006F0F22">
        <w:rPr>
          <w:sz w:val="22"/>
          <w:szCs w:val="22"/>
          <w:lang w:val="en-GB"/>
        </w:rPr>
        <w:t xml:space="preserve">REDD </w:t>
      </w:r>
      <w:r w:rsidR="00A66A55" w:rsidRPr="006F0F22">
        <w:rPr>
          <w:sz w:val="22"/>
          <w:szCs w:val="22"/>
          <w:lang w:val="en-GB"/>
        </w:rPr>
        <w:t xml:space="preserve">project </w:t>
      </w:r>
      <w:r w:rsidR="00DA1D57" w:rsidRPr="006F0F22">
        <w:rPr>
          <w:sz w:val="22"/>
          <w:szCs w:val="22"/>
          <w:lang w:val="en-GB"/>
        </w:rPr>
        <w:t xml:space="preserve">– which is a unique pilot for the whole of Africa – </w:t>
      </w:r>
      <w:r w:rsidR="00A66A55" w:rsidRPr="006F0F22">
        <w:rPr>
          <w:sz w:val="22"/>
          <w:szCs w:val="22"/>
          <w:lang w:val="en-GB"/>
        </w:rPr>
        <w:t>can</w:t>
      </w:r>
      <w:r w:rsidR="00DA1D57" w:rsidRPr="006F0F22">
        <w:rPr>
          <w:sz w:val="22"/>
          <w:szCs w:val="22"/>
          <w:lang w:val="en-GB"/>
        </w:rPr>
        <w:t xml:space="preserve"> </w:t>
      </w:r>
      <w:r w:rsidR="00A66A55" w:rsidRPr="006F0F22">
        <w:rPr>
          <w:sz w:val="22"/>
          <w:szCs w:val="22"/>
          <w:lang w:val="en-GB"/>
        </w:rPr>
        <w:t>thus help catalyse the generation of carbon credits to be marketed, linking back to the issue of sustainable financing</w:t>
      </w:r>
      <w:r w:rsidR="008843B6" w:rsidRPr="006F0F22">
        <w:rPr>
          <w:sz w:val="22"/>
          <w:szCs w:val="22"/>
          <w:lang w:val="en-GB"/>
        </w:rPr>
        <w:t xml:space="preserve"> </w:t>
      </w:r>
      <w:r w:rsidR="00B12D96" w:rsidRPr="006F0F22">
        <w:rPr>
          <w:sz w:val="22"/>
          <w:szCs w:val="22"/>
          <w:lang w:val="en-GB"/>
        </w:rPr>
        <w:t xml:space="preserve">– a part of the expected revenues </w:t>
      </w:r>
      <w:r w:rsidR="00385126" w:rsidRPr="006F0F22">
        <w:rPr>
          <w:sz w:val="22"/>
          <w:szCs w:val="22"/>
          <w:lang w:val="en-GB"/>
        </w:rPr>
        <w:t xml:space="preserve">expected under the </w:t>
      </w:r>
      <w:r w:rsidR="00B12D96" w:rsidRPr="006F0F22">
        <w:rPr>
          <w:sz w:val="22"/>
          <w:szCs w:val="22"/>
          <w:lang w:val="en-GB"/>
        </w:rPr>
        <w:t>RE</w:t>
      </w:r>
      <w:r w:rsidR="00385126" w:rsidRPr="006F0F22">
        <w:rPr>
          <w:sz w:val="22"/>
          <w:szCs w:val="22"/>
          <w:lang w:val="en-GB"/>
        </w:rPr>
        <w:t xml:space="preserve">DD project </w:t>
      </w:r>
      <w:r w:rsidR="00C51BE6" w:rsidRPr="006F0F22">
        <w:rPr>
          <w:sz w:val="22"/>
          <w:szCs w:val="22"/>
          <w:lang w:val="en-GB"/>
        </w:rPr>
        <w:t>(</w:t>
      </w:r>
      <w:r w:rsidR="00A85DE2" w:rsidRPr="006F0F22">
        <w:rPr>
          <w:sz w:val="22"/>
          <w:szCs w:val="22"/>
          <w:lang w:val="en-GB"/>
        </w:rPr>
        <w:t xml:space="preserve">altogether </w:t>
      </w:r>
      <w:r w:rsidR="00C51BE6" w:rsidRPr="006F0F22">
        <w:rPr>
          <w:sz w:val="22"/>
          <w:szCs w:val="22"/>
          <w:lang w:val="en-GB"/>
        </w:rPr>
        <w:t>estimated to $ 15 million over 10 y</w:t>
      </w:r>
      <w:r w:rsidR="00A85DE2" w:rsidRPr="006F0F22">
        <w:rPr>
          <w:sz w:val="22"/>
          <w:szCs w:val="22"/>
          <w:lang w:val="en-GB"/>
        </w:rPr>
        <w:t>ears</w:t>
      </w:r>
      <w:r w:rsidR="00C51BE6" w:rsidRPr="006F0F22">
        <w:rPr>
          <w:sz w:val="22"/>
          <w:szCs w:val="22"/>
          <w:lang w:val="en-GB"/>
        </w:rPr>
        <w:t xml:space="preserve">) </w:t>
      </w:r>
      <w:r w:rsidR="00385126" w:rsidRPr="006F0F22">
        <w:rPr>
          <w:sz w:val="22"/>
          <w:szCs w:val="22"/>
          <w:lang w:val="en-GB"/>
        </w:rPr>
        <w:t xml:space="preserve">will start financing on-the-ground forest management actions </w:t>
      </w:r>
      <w:r w:rsidR="008843B6" w:rsidRPr="006F0F22">
        <w:rPr>
          <w:sz w:val="22"/>
          <w:szCs w:val="22"/>
          <w:lang w:val="en-GB"/>
        </w:rPr>
        <w:t xml:space="preserve">in Cantanhez NP, </w:t>
      </w:r>
      <w:r w:rsidR="00385126" w:rsidRPr="006F0F22">
        <w:rPr>
          <w:sz w:val="22"/>
          <w:szCs w:val="22"/>
          <w:lang w:val="en-GB"/>
        </w:rPr>
        <w:t xml:space="preserve">and another </w:t>
      </w:r>
      <w:r w:rsidR="00C51BE6" w:rsidRPr="006F0F22">
        <w:rPr>
          <w:sz w:val="22"/>
          <w:szCs w:val="22"/>
          <w:lang w:val="en-GB"/>
        </w:rPr>
        <w:t xml:space="preserve">be channelled </w:t>
      </w:r>
      <w:r w:rsidR="00385126" w:rsidRPr="006F0F22">
        <w:rPr>
          <w:sz w:val="22"/>
          <w:szCs w:val="22"/>
          <w:lang w:val="en-GB"/>
        </w:rPr>
        <w:t xml:space="preserve">into the endowment capital of the </w:t>
      </w:r>
      <w:r w:rsidR="00A85DE2" w:rsidRPr="006F0F22">
        <w:rPr>
          <w:sz w:val="22"/>
          <w:szCs w:val="22"/>
          <w:lang w:val="en-GB"/>
        </w:rPr>
        <w:t>FBG</w:t>
      </w:r>
      <w:r w:rsidR="008843B6" w:rsidRPr="006F0F22">
        <w:rPr>
          <w:sz w:val="22"/>
          <w:szCs w:val="22"/>
          <w:lang w:val="en-GB"/>
        </w:rPr>
        <w:t xml:space="preserve"> to leverage sustainable finance for the national PA system.</w:t>
      </w:r>
    </w:p>
    <w:p w:rsidR="00055E70" w:rsidRPr="006F0F22" w:rsidRDefault="00055E70" w:rsidP="00055E70">
      <w:pPr>
        <w:pStyle w:val="Footer"/>
        <w:tabs>
          <w:tab w:val="clear" w:pos="4320"/>
          <w:tab w:val="clear" w:pos="8640"/>
        </w:tabs>
        <w:ind w:left="0"/>
        <w:contextualSpacing/>
        <w:jc w:val="both"/>
        <w:rPr>
          <w:sz w:val="22"/>
          <w:szCs w:val="22"/>
          <w:lang w:val="en-GB"/>
        </w:rPr>
      </w:pPr>
    </w:p>
    <w:p w:rsidR="00195986" w:rsidRPr="006F0F22" w:rsidRDefault="00444D2A" w:rsidP="00F7727B">
      <w:pPr>
        <w:pStyle w:val="Footer"/>
        <w:numPr>
          <w:ilvl w:val="0"/>
          <w:numId w:val="24"/>
        </w:numPr>
        <w:tabs>
          <w:tab w:val="clear" w:pos="4320"/>
          <w:tab w:val="clear" w:pos="8640"/>
        </w:tabs>
        <w:ind w:left="0" w:firstLine="0"/>
        <w:contextualSpacing/>
        <w:jc w:val="both"/>
        <w:rPr>
          <w:sz w:val="22"/>
          <w:szCs w:val="22"/>
          <w:lang w:val="en-GB"/>
        </w:rPr>
      </w:pPr>
      <w:r w:rsidRPr="006F0F22">
        <w:rPr>
          <w:sz w:val="22"/>
          <w:szCs w:val="22"/>
          <w:lang w:val="en-GB"/>
        </w:rPr>
        <w:t xml:space="preserve">The PA features globally significant biodiversity and is </w:t>
      </w:r>
      <w:r w:rsidR="00B54A02" w:rsidRPr="006F0F22">
        <w:rPr>
          <w:sz w:val="22"/>
          <w:szCs w:val="22"/>
          <w:lang w:val="en-GB"/>
        </w:rPr>
        <w:t>li</w:t>
      </w:r>
      <w:r w:rsidR="00F44388" w:rsidRPr="006F0F22">
        <w:rPr>
          <w:sz w:val="22"/>
          <w:szCs w:val="22"/>
          <w:lang w:val="en-GB"/>
        </w:rPr>
        <w:t xml:space="preserve">sted as one of the critical </w:t>
      </w:r>
      <w:r w:rsidRPr="006F0F22">
        <w:rPr>
          <w:sz w:val="22"/>
          <w:szCs w:val="22"/>
          <w:lang w:val="en-GB"/>
        </w:rPr>
        <w:t xml:space="preserve">200 </w:t>
      </w:r>
      <w:r w:rsidR="00F44388" w:rsidRPr="006F0F22">
        <w:rPr>
          <w:sz w:val="22"/>
          <w:szCs w:val="22"/>
          <w:lang w:val="en-GB"/>
        </w:rPr>
        <w:t>WWF Global Ec</w:t>
      </w:r>
      <w:r w:rsidRPr="006F0F22">
        <w:rPr>
          <w:sz w:val="22"/>
          <w:szCs w:val="22"/>
          <w:lang w:val="en-GB"/>
        </w:rPr>
        <w:t xml:space="preserve">o-regions. It </w:t>
      </w:r>
      <w:r w:rsidR="00F7727B" w:rsidRPr="006F0F22">
        <w:rPr>
          <w:sz w:val="22"/>
          <w:szCs w:val="22"/>
          <w:lang w:val="en-GB"/>
        </w:rPr>
        <w:t>contains a dynamic landscape of river flood-plains</w:t>
      </w:r>
      <w:r w:rsidR="007D480B" w:rsidRPr="006F0F22">
        <w:rPr>
          <w:sz w:val="22"/>
          <w:szCs w:val="22"/>
          <w:lang w:val="en-GB"/>
        </w:rPr>
        <w:t>,</w:t>
      </w:r>
      <w:r w:rsidR="00F7727B" w:rsidRPr="006F0F22">
        <w:rPr>
          <w:sz w:val="22"/>
          <w:szCs w:val="22"/>
          <w:lang w:val="en-GB"/>
        </w:rPr>
        <w:t xml:space="preserve"> mangroves</w:t>
      </w:r>
      <w:r w:rsidR="007D480B" w:rsidRPr="006F0F22">
        <w:rPr>
          <w:sz w:val="22"/>
          <w:szCs w:val="22"/>
          <w:lang w:val="en-GB"/>
        </w:rPr>
        <w:t>,</w:t>
      </w:r>
      <w:r w:rsidR="00F7727B" w:rsidRPr="006F0F22">
        <w:rPr>
          <w:sz w:val="22"/>
          <w:szCs w:val="22"/>
          <w:lang w:val="en-GB"/>
        </w:rPr>
        <w:t xml:space="preserve"> </w:t>
      </w:r>
      <w:r w:rsidR="007D480B" w:rsidRPr="006F0F22">
        <w:rPr>
          <w:sz w:val="22"/>
          <w:szCs w:val="22"/>
          <w:lang w:val="en-GB"/>
        </w:rPr>
        <w:t xml:space="preserve">forests, savannah and agricultural fields, </w:t>
      </w:r>
      <w:r w:rsidRPr="006F0F22">
        <w:rPr>
          <w:sz w:val="22"/>
          <w:szCs w:val="22"/>
          <w:lang w:val="en-GB"/>
        </w:rPr>
        <w:t>with a high prevalence of oil-palm trees (</w:t>
      </w:r>
      <w:r w:rsidRPr="006F0F22">
        <w:rPr>
          <w:i/>
          <w:sz w:val="22"/>
          <w:szCs w:val="22"/>
          <w:lang w:val="en-GB"/>
        </w:rPr>
        <w:t>Elaeis guineensis</w:t>
      </w:r>
      <w:r w:rsidRPr="006F0F22">
        <w:rPr>
          <w:sz w:val="22"/>
          <w:szCs w:val="22"/>
          <w:lang w:val="en-GB"/>
        </w:rPr>
        <w:t>).</w:t>
      </w:r>
      <w:r w:rsidR="00F7727B" w:rsidRPr="006F0F22">
        <w:rPr>
          <w:sz w:val="22"/>
          <w:szCs w:val="22"/>
          <w:lang w:val="en-GB"/>
        </w:rPr>
        <w:t xml:space="preserve"> </w:t>
      </w:r>
      <w:r w:rsidR="003E2AD2" w:rsidRPr="006F0F22">
        <w:rPr>
          <w:sz w:val="22"/>
          <w:szCs w:val="22"/>
          <w:lang w:val="en-GB"/>
        </w:rPr>
        <w:t xml:space="preserve">The dominant forest species are </w:t>
      </w:r>
      <w:r w:rsidR="003E2AD2" w:rsidRPr="006F0F22">
        <w:rPr>
          <w:i/>
          <w:sz w:val="22"/>
          <w:szCs w:val="22"/>
          <w:lang w:val="en-GB"/>
        </w:rPr>
        <w:t>Afzelia</w:t>
      </w:r>
      <w:r w:rsidRPr="006F0F22">
        <w:rPr>
          <w:i/>
          <w:sz w:val="22"/>
          <w:szCs w:val="22"/>
          <w:lang w:val="en-GB"/>
        </w:rPr>
        <w:t xml:space="preserve"> </w:t>
      </w:r>
      <w:r w:rsidR="003E2AD2" w:rsidRPr="006F0F22">
        <w:rPr>
          <w:i/>
          <w:sz w:val="22"/>
          <w:szCs w:val="22"/>
          <w:lang w:val="en-GB"/>
        </w:rPr>
        <w:t>africana</w:t>
      </w:r>
      <w:r w:rsidR="0005145D" w:rsidRPr="006F0F22">
        <w:rPr>
          <w:i/>
          <w:sz w:val="22"/>
          <w:szCs w:val="22"/>
          <w:lang w:val="en-GB"/>
        </w:rPr>
        <w:t xml:space="preserve"> </w:t>
      </w:r>
      <w:r w:rsidR="00176114" w:rsidRPr="006F0F22">
        <w:rPr>
          <w:sz w:val="22"/>
          <w:szCs w:val="22"/>
          <w:lang w:val="en-GB"/>
        </w:rPr>
        <w:t>(VU)</w:t>
      </w:r>
      <w:r w:rsidR="003E2AD2" w:rsidRPr="006F0F22">
        <w:rPr>
          <w:i/>
          <w:sz w:val="22"/>
          <w:szCs w:val="22"/>
          <w:lang w:val="en-GB"/>
        </w:rPr>
        <w:t>, Alstonia</w:t>
      </w:r>
      <w:r w:rsidRPr="006F0F22">
        <w:rPr>
          <w:i/>
          <w:sz w:val="22"/>
          <w:szCs w:val="22"/>
          <w:lang w:val="en-GB"/>
        </w:rPr>
        <w:t xml:space="preserve"> </w:t>
      </w:r>
      <w:r w:rsidR="003E2AD2" w:rsidRPr="006F0F22">
        <w:rPr>
          <w:i/>
          <w:sz w:val="22"/>
          <w:szCs w:val="22"/>
          <w:lang w:val="en-GB"/>
        </w:rPr>
        <w:t>congensis, Antiaris</w:t>
      </w:r>
      <w:r w:rsidRPr="006F0F22">
        <w:rPr>
          <w:i/>
          <w:sz w:val="22"/>
          <w:szCs w:val="22"/>
          <w:lang w:val="en-GB"/>
        </w:rPr>
        <w:t xml:space="preserve"> </w:t>
      </w:r>
      <w:r w:rsidR="003E2AD2" w:rsidRPr="006F0F22">
        <w:rPr>
          <w:i/>
          <w:sz w:val="22"/>
          <w:szCs w:val="22"/>
          <w:lang w:val="en-GB"/>
        </w:rPr>
        <w:t>africana, Ceiba</w:t>
      </w:r>
      <w:r w:rsidRPr="006F0F22">
        <w:rPr>
          <w:i/>
          <w:sz w:val="22"/>
          <w:szCs w:val="22"/>
          <w:lang w:val="en-GB"/>
        </w:rPr>
        <w:t xml:space="preserve"> </w:t>
      </w:r>
      <w:r w:rsidR="003E2AD2" w:rsidRPr="006F0F22">
        <w:rPr>
          <w:i/>
          <w:sz w:val="22"/>
          <w:szCs w:val="22"/>
          <w:lang w:val="en-GB"/>
        </w:rPr>
        <w:t>pentandra, Dialium</w:t>
      </w:r>
      <w:r w:rsidRPr="006F0F22">
        <w:rPr>
          <w:i/>
          <w:sz w:val="22"/>
          <w:szCs w:val="22"/>
          <w:lang w:val="en-GB"/>
        </w:rPr>
        <w:t xml:space="preserve"> </w:t>
      </w:r>
      <w:r w:rsidR="003E2AD2" w:rsidRPr="006F0F22">
        <w:rPr>
          <w:i/>
          <w:sz w:val="22"/>
          <w:szCs w:val="22"/>
          <w:lang w:val="en-GB"/>
        </w:rPr>
        <w:t>guineense, Ficus</w:t>
      </w:r>
      <w:r w:rsidR="003E2AD2" w:rsidRPr="006F0F22">
        <w:rPr>
          <w:sz w:val="22"/>
          <w:szCs w:val="22"/>
          <w:lang w:val="en-GB"/>
        </w:rPr>
        <w:t xml:space="preserve"> spp. and </w:t>
      </w:r>
      <w:r w:rsidR="003E2AD2" w:rsidRPr="006F0F22">
        <w:rPr>
          <w:i/>
          <w:sz w:val="22"/>
          <w:szCs w:val="22"/>
          <w:lang w:val="en-GB"/>
        </w:rPr>
        <w:t>Parinari</w:t>
      </w:r>
      <w:r w:rsidRPr="006F0F22">
        <w:rPr>
          <w:i/>
          <w:sz w:val="22"/>
          <w:szCs w:val="22"/>
          <w:lang w:val="en-GB"/>
        </w:rPr>
        <w:t xml:space="preserve"> </w:t>
      </w:r>
      <w:r w:rsidR="003E2AD2" w:rsidRPr="006F0F22">
        <w:rPr>
          <w:i/>
          <w:sz w:val="22"/>
          <w:szCs w:val="22"/>
          <w:lang w:val="en-GB"/>
        </w:rPr>
        <w:t>excelsa</w:t>
      </w:r>
      <w:r w:rsidR="003E2AD2" w:rsidRPr="006F0F22">
        <w:rPr>
          <w:sz w:val="22"/>
          <w:szCs w:val="22"/>
          <w:lang w:val="en-GB"/>
        </w:rPr>
        <w:t xml:space="preserve">. Notable mammal species include the West African Manatee </w:t>
      </w:r>
      <w:r w:rsidR="0005145D" w:rsidRPr="006F0F22">
        <w:rPr>
          <w:sz w:val="22"/>
          <w:szCs w:val="22"/>
          <w:lang w:val="en-GB"/>
        </w:rPr>
        <w:t>(</w:t>
      </w:r>
      <w:r w:rsidR="0005145D" w:rsidRPr="006F0F22">
        <w:rPr>
          <w:i/>
          <w:sz w:val="22"/>
          <w:szCs w:val="22"/>
          <w:lang w:val="en-GB"/>
        </w:rPr>
        <w:t>Trichechus senegalensis</w:t>
      </w:r>
      <w:r w:rsidR="0005145D" w:rsidRPr="006F0F22">
        <w:rPr>
          <w:sz w:val="22"/>
          <w:szCs w:val="22"/>
          <w:lang w:val="en-GB"/>
        </w:rPr>
        <w:t xml:space="preserve"> VU) </w:t>
      </w:r>
      <w:r w:rsidR="003E2AD2" w:rsidRPr="006F0F22">
        <w:rPr>
          <w:sz w:val="22"/>
          <w:szCs w:val="22"/>
          <w:lang w:val="en-GB"/>
        </w:rPr>
        <w:t>recorded from the upper reaches of the Rio Cacine and Chimpanzee (</w:t>
      </w:r>
      <w:r w:rsidR="003E2AD2" w:rsidRPr="006F0F22">
        <w:rPr>
          <w:i/>
          <w:sz w:val="22"/>
          <w:szCs w:val="22"/>
          <w:lang w:val="en-GB"/>
        </w:rPr>
        <w:t>Pan troglodytes</w:t>
      </w:r>
      <w:r w:rsidR="006F6617" w:rsidRPr="006F0F22">
        <w:rPr>
          <w:sz w:val="22"/>
          <w:szCs w:val="22"/>
          <w:lang w:val="en-GB"/>
        </w:rPr>
        <w:t xml:space="preserve"> EN);</w:t>
      </w:r>
      <w:r w:rsidR="003E2AD2" w:rsidRPr="006F0F22">
        <w:rPr>
          <w:sz w:val="22"/>
          <w:szCs w:val="22"/>
          <w:lang w:val="en-GB"/>
        </w:rPr>
        <w:t xml:space="preserve"> </w:t>
      </w:r>
      <w:r w:rsidR="007D480B" w:rsidRPr="006F0F22">
        <w:rPr>
          <w:sz w:val="22"/>
          <w:szCs w:val="22"/>
          <w:lang w:val="en-GB"/>
        </w:rPr>
        <w:t>a</w:t>
      </w:r>
      <w:r w:rsidR="003E2AD2" w:rsidRPr="006F0F22">
        <w:rPr>
          <w:sz w:val="22"/>
          <w:szCs w:val="22"/>
          <w:lang w:val="en-GB"/>
        </w:rPr>
        <w:t>lthough little is yet known about the ecology of chimpanzees inhabiting the PA, recent studies have started to define trends in habitat use and estimate chimpanzee density in different zones</w:t>
      </w:r>
      <w:r w:rsidR="003E2AD2" w:rsidRPr="006F0F22">
        <w:rPr>
          <w:rStyle w:val="FootnoteReference"/>
          <w:sz w:val="22"/>
          <w:szCs w:val="22"/>
          <w:lang w:val="en-GB"/>
        </w:rPr>
        <w:footnoteReference w:id="14"/>
      </w:r>
      <w:r w:rsidR="00BB11FD" w:rsidRPr="006F0F22">
        <w:rPr>
          <w:sz w:val="22"/>
          <w:szCs w:val="22"/>
          <w:lang w:val="en-GB"/>
        </w:rPr>
        <w:t>.</w:t>
      </w:r>
      <w:r w:rsidR="003E2AD2" w:rsidRPr="006F0F22">
        <w:rPr>
          <w:sz w:val="22"/>
          <w:szCs w:val="22"/>
          <w:lang w:val="en-GB"/>
        </w:rPr>
        <w:t xml:space="preserve"> The PA also contains several other primates including the West African Red Colobus (</w:t>
      </w:r>
      <w:r w:rsidR="003E2AD2" w:rsidRPr="006F0F22">
        <w:rPr>
          <w:i/>
          <w:sz w:val="22"/>
          <w:szCs w:val="22"/>
          <w:lang w:val="en-GB"/>
        </w:rPr>
        <w:t>Procolobus</w:t>
      </w:r>
      <w:r w:rsidR="0005145D" w:rsidRPr="006F0F22">
        <w:rPr>
          <w:i/>
          <w:sz w:val="22"/>
          <w:szCs w:val="22"/>
          <w:lang w:val="en-GB"/>
        </w:rPr>
        <w:t xml:space="preserve"> </w:t>
      </w:r>
      <w:r w:rsidR="003E2AD2" w:rsidRPr="006F0F22">
        <w:rPr>
          <w:i/>
          <w:sz w:val="22"/>
          <w:szCs w:val="22"/>
          <w:lang w:val="en-GB"/>
        </w:rPr>
        <w:t>badius</w:t>
      </w:r>
      <w:r w:rsidR="003E2AD2" w:rsidRPr="006F0F22">
        <w:rPr>
          <w:sz w:val="22"/>
          <w:szCs w:val="22"/>
          <w:lang w:val="en-GB"/>
        </w:rPr>
        <w:t xml:space="preserve"> EN),</w:t>
      </w:r>
      <w:r w:rsidR="00AA26AE" w:rsidRPr="006F0F22">
        <w:rPr>
          <w:sz w:val="22"/>
          <w:szCs w:val="22"/>
          <w:lang w:val="en-GB"/>
        </w:rPr>
        <w:t xml:space="preserve"> </w:t>
      </w:r>
      <w:r w:rsidR="003E2AD2" w:rsidRPr="006F0F22">
        <w:rPr>
          <w:sz w:val="22"/>
          <w:szCs w:val="22"/>
          <w:lang w:val="en-GB"/>
        </w:rPr>
        <w:t>the</w:t>
      </w:r>
      <w:r w:rsidR="00AA26AE" w:rsidRPr="006F0F22">
        <w:rPr>
          <w:sz w:val="22"/>
          <w:szCs w:val="22"/>
          <w:lang w:val="en-GB"/>
        </w:rPr>
        <w:t xml:space="preserve"> </w:t>
      </w:r>
      <w:r w:rsidR="003E2AD2" w:rsidRPr="006F0F22">
        <w:rPr>
          <w:sz w:val="22"/>
          <w:szCs w:val="22"/>
          <w:lang w:val="en-GB"/>
        </w:rPr>
        <w:t>King Colobus</w:t>
      </w:r>
      <w:r w:rsidR="003E2AD2" w:rsidRPr="006F0F22">
        <w:rPr>
          <w:i/>
          <w:sz w:val="22"/>
          <w:szCs w:val="22"/>
          <w:lang w:val="en-GB"/>
        </w:rPr>
        <w:t xml:space="preserve"> (Colobus</w:t>
      </w:r>
      <w:r w:rsidR="0005145D" w:rsidRPr="006F0F22">
        <w:rPr>
          <w:i/>
          <w:sz w:val="22"/>
          <w:szCs w:val="22"/>
          <w:lang w:val="en-GB"/>
        </w:rPr>
        <w:t xml:space="preserve"> </w:t>
      </w:r>
      <w:r w:rsidR="003E2AD2" w:rsidRPr="006F0F22">
        <w:rPr>
          <w:i/>
          <w:sz w:val="22"/>
          <w:szCs w:val="22"/>
          <w:lang w:val="en-GB"/>
        </w:rPr>
        <w:t>polykomos</w:t>
      </w:r>
      <w:r w:rsidR="003E2AD2" w:rsidRPr="006F0F22">
        <w:rPr>
          <w:sz w:val="22"/>
          <w:szCs w:val="22"/>
          <w:lang w:val="en-GB"/>
        </w:rPr>
        <w:t xml:space="preserve"> VU) and</w:t>
      </w:r>
      <w:r w:rsidRPr="006F0F22">
        <w:rPr>
          <w:sz w:val="22"/>
          <w:szCs w:val="22"/>
          <w:lang w:val="en-GB"/>
        </w:rPr>
        <w:t xml:space="preserve"> </w:t>
      </w:r>
      <w:r w:rsidR="003E2AD2" w:rsidRPr="006F0F22">
        <w:rPr>
          <w:sz w:val="22"/>
          <w:szCs w:val="22"/>
          <w:lang w:val="en-GB"/>
        </w:rPr>
        <w:t>the Guinea Baboon (</w:t>
      </w:r>
      <w:r w:rsidR="003E2AD2" w:rsidRPr="006F0F22">
        <w:rPr>
          <w:i/>
          <w:sz w:val="22"/>
          <w:szCs w:val="22"/>
          <w:lang w:val="en-GB"/>
        </w:rPr>
        <w:t>Papio</w:t>
      </w:r>
      <w:r w:rsidRPr="006F0F22">
        <w:rPr>
          <w:i/>
          <w:sz w:val="22"/>
          <w:szCs w:val="22"/>
          <w:lang w:val="en-GB"/>
        </w:rPr>
        <w:t xml:space="preserve"> </w:t>
      </w:r>
      <w:r w:rsidR="003E2AD2" w:rsidRPr="006F0F22">
        <w:rPr>
          <w:i/>
          <w:sz w:val="22"/>
          <w:szCs w:val="22"/>
          <w:lang w:val="en-GB"/>
        </w:rPr>
        <w:t>papio</w:t>
      </w:r>
      <w:r w:rsidR="003E2AD2" w:rsidRPr="006F0F22">
        <w:rPr>
          <w:sz w:val="22"/>
          <w:szCs w:val="22"/>
          <w:lang w:val="en-GB"/>
        </w:rPr>
        <w:t xml:space="preserve"> NT). Leopard (</w:t>
      </w:r>
      <w:r w:rsidR="003E2AD2" w:rsidRPr="006F0F22">
        <w:rPr>
          <w:i/>
          <w:sz w:val="22"/>
          <w:szCs w:val="22"/>
          <w:lang w:val="en-GB"/>
        </w:rPr>
        <w:t>Panthera</w:t>
      </w:r>
      <w:r w:rsidRPr="006F0F22">
        <w:rPr>
          <w:i/>
          <w:sz w:val="22"/>
          <w:szCs w:val="22"/>
          <w:lang w:val="en-GB"/>
        </w:rPr>
        <w:t xml:space="preserve"> </w:t>
      </w:r>
      <w:r w:rsidR="003E2AD2" w:rsidRPr="006F0F22">
        <w:rPr>
          <w:i/>
          <w:sz w:val="22"/>
          <w:szCs w:val="22"/>
          <w:lang w:val="en-GB"/>
        </w:rPr>
        <w:t>pardus</w:t>
      </w:r>
      <w:r w:rsidR="003E2AD2" w:rsidRPr="006F0F22">
        <w:rPr>
          <w:sz w:val="22"/>
          <w:szCs w:val="22"/>
          <w:lang w:val="en-GB"/>
        </w:rPr>
        <w:t xml:space="preserve"> NT) and African Elephant (</w:t>
      </w:r>
      <w:r w:rsidR="003E2AD2" w:rsidRPr="006F0F22">
        <w:rPr>
          <w:i/>
          <w:sz w:val="22"/>
          <w:szCs w:val="22"/>
          <w:lang w:val="en-GB"/>
        </w:rPr>
        <w:t>Loxodonta</w:t>
      </w:r>
      <w:r w:rsidRPr="006F0F22">
        <w:rPr>
          <w:i/>
          <w:sz w:val="22"/>
          <w:szCs w:val="22"/>
          <w:lang w:val="en-GB"/>
        </w:rPr>
        <w:t xml:space="preserve"> </w:t>
      </w:r>
      <w:r w:rsidR="003E2AD2" w:rsidRPr="006F0F22">
        <w:rPr>
          <w:i/>
          <w:sz w:val="22"/>
          <w:szCs w:val="22"/>
          <w:lang w:val="en-GB"/>
        </w:rPr>
        <w:t>africana</w:t>
      </w:r>
      <w:r w:rsidR="003E2AD2" w:rsidRPr="006F0F22">
        <w:rPr>
          <w:sz w:val="22"/>
          <w:szCs w:val="22"/>
          <w:lang w:val="en-GB"/>
        </w:rPr>
        <w:t xml:space="preserve"> VU) are reported to remain, at least on a seasonal basis.</w:t>
      </w:r>
      <w:r w:rsidRPr="006F0F22">
        <w:rPr>
          <w:sz w:val="22"/>
          <w:szCs w:val="22"/>
          <w:lang w:val="en-GB"/>
        </w:rPr>
        <w:t xml:space="preserve"> </w:t>
      </w:r>
      <w:r w:rsidR="00312BE2" w:rsidRPr="006F0F22">
        <w:rPr>
          <w:sz w:val="22"/>
          <w:szCs w:val="22"/>
          <w:lang w:val="en-GB"/>
        </w:rPr>
        <w:t>Estuarine areas along the Rio Cacine support considerable numbers of migratory shorebirds (especially wa</w:t>
      </w:r>
      <w:r w:rsidR="00BB11FD" w:rsidRPr="006F0F22">
        <w:rPr>
          <w:sz w:val="22"/>
          <w:szCs w:val="22"/>
          <w:lang w:val="en-GB"/>
        </w:rPr>
        <w:t xml:space="preserve">ders) and islands in the river </w:t>
      </w:r>
      <w:r w:rsidR="00312BE2" w:rsidRPr="006F0F22">
        <w:rPr>
          <w:sz w:val="22"/>
          <w:szCs w:val="22"/>
          <w:lang w:val="en-GB"/>
        </w:rPr>
        <w:t>mouth are important for breeding water</w:t>
      </w:r>
      <w:r w:rsidR="00DA54DC" w:rsidRPr="006F0F22">
        <w:rPr>
          <w:sz w:val="22"/>
          <w:szCs w:val="22"/>
          <w:lang w:val="en-GB"/>
        </w:rPr>
        <w:t xml:space="preserve"> </w:t>
      </w:r>
      <w:r w:rsidR="00312BE2" w:rsidRPr="006F0F22">
        <w:rPr>
          <w:sz w:val="22"/>
          <w:szCs w:val="22"/>
          <w:lang w:val="en-GB"/>
        </w:rPr>
        <w:t>birds. Although there has been no comprehensive ornithological survey of the park, 160 species of birds in Guinea-Bissau are documented from the coastal and forest zones of Cantanhez NP</w:t>
      </w:r>
      <w:r w:rsidR="00312BE2" w:rsidRPr="006F0F22">
        <w:rPr>
          <w:rStyle w:val="FootnoteReference"/>
          <w:sz w:val="22"/>
          <w:szCs w:val="22"/>
          <w:lang w:val="en-GB"/>
        </w:rPr>
        <w:footnoteReference w:id="15"/>
      </w:r>
      <w:r w:rsidR="00BB11FD" w:rsidRPr="006F0F22">
        <w:rPr>
          <w:sz w:val="22"/>
          <w:szCs w:val="22"/>
          <w:lang w:val="en-GB"/>
        </w:rPr>
        <w:t>.</w:t>
      </w:r>
      <w:r w:rsidR="00312BE2" w:rsidRPr="006F0F22">
        <w:rPr>
          <w:sz w:val="22"/>
          <w:szCs w:val="22"/>
          <w:lang w:val="en-GB"/>
        </w:rPr>
        <w:t xml:space="preserve"> </w:t>
      </w:r>
      <w:r w:rsidRPr="006F0F22">
        <w:rPr>
          <w:sz w:val="22"/>
          <w:szCs w:val="22"/>
          <w:lang w:val="en-GB"/>
        </w:rPr>
        <w:t xml:space="preserve">With a </w:t>
      </w:r>
      <w:r w:rsidR="003E2AD2" w:rsidRPr="006F0F22">
        <w:rPr>
          <w:sz w:val="22"/>
          <w:szCs w:val="22"/>
          <w:lang w:val="en-GB"/>
        </w:rPr>
        <w:t xml:space="preserve">human population estimated at </w:t>
      </w:r>
      <w:r w:rsidR="006F6617" w:rsidRPr="006F0F22">
        <w:rPr>
          <w:sz w:val="22"/>
          <w:szCs w:val="22"/>
          <w:lang w:val="en-GB"/>
        </w:rPr>
        <w:t>around 25</w:t>
      </w:r>
      <w:r w:rsidR="003E2AD2" w:rsidRPr="006F0F22">
        <w:rPr>
          <w:sz w:val="22"/>
          <w:szCs w:val="22"/>
          <w:lang w:val="en-GB"/>
        </w:rPr>
        <w:t xml:space="preserve">,000 residents living within the PA, pressure on biodiversity and forest resources in the PA and its periphery is inevitably </w:t>
      </w:r>
      <w:r w:rsidR="006F6617" w:rsidRPr="006F0F22">
        <w:rPr>
          <w:sz w:val="22"/>
          <w:szCs w:val="22"/>
          <w:lang w:val="en-GB"/>
        </w:rPr>
        <w:t xml:space="preserve">high and </w:t>
      </w:r>
      <w:r w:rsidR="003E2AD2" w:rsidRPr="006F0F22">
        <w:rPr>
          <w:sz w:val="22"/>
          <w:szCs w:val="22"/>
          <w:lang w:val="en-GB"/>
        </w:rPr>
        <w:t>mounting</w:t>
      </w:r>
      <w:r w:rsidR="003E2AD2" w:rsidRPr="006F0F22">
        <w:rPr>
          <w:rStyle w:val="FootnoteReference"/>
          <w:sz w:val="22"/>
          <w:szCs w:val="22"/>
          <w:lang w:val="en-GB"/>
        </w:rPr>
        <w:footnoteReference w:id="16"/>
      </w:r>
      <w:r w:rsidR="00A9757E" w:rsidRPr="006F0F22">
        <w:rPr>
          <w:sz w:val="22"/>
          <w:szCs w:val="22"/>
          <w:lang w:val="en-GB"/>
        </w:rPr>
        <w:t>.</w:t>
      </w:r>
      <w:r w:rsidR="003E2AD2" w:rsidRPr="006F0F22">
        <w:rPr>
          <w:sz w:val="22"/>
          <w:szCs w:val="22"/>
          <w:lang w:val="en-GB"/>
        </w:rPr>
        <w:t xml:space="preserve"> Encroachment through shifting cultivation is the main driver of deforestation, while hunting reduces the populations of larger mammals with the partial exception of primates</w:t>
      </w:r>
      <w:r w:rsidR="003E2AD2" w:rsidRPr="006F0F22">
        <w:rPr>
          <w:rStyle w:val="FootnoteReference"/>
          <w:sz w:val="22"/>
          <w:szCs w:val="22"/>
          <w:lang w:val="en-GB"/>
        </w:rPr>
        <w:footnoteReference w:id="17"/>
      </w:r>
      <w:r w:rsidR="00A9757E" w:rsidRPr="006F0F22">
        <w:rPr>
          <w:sz w:val="22"/>
          <w:szCs w:val="22"/>
          <w:lang w:val="en-GB"/>
        </w:rPr>
        <w:t xml:space="preserve">. </w:t>
      </w:r>
    </w:p>
    <w:p w:rsidR="00433EB8" w:rsidRPr="006F0F22" w:rsidRDefault="00433EB8" w:rsidP="00A03B22">
      <w:pPr>
        <w:pStyle w:val="Footer"/>
        <w:tabs>
          <w:tab w:val="left" w:pos="0"/>
          <w:tab w:val="left" w:pos="227"/>
          <w:tab w:val="left" w:pos="340"/>
          <w:tab w:val="left" w:pos="397"/>
          <w:tab w:val="left" w:pos="720"/>
        </w:tabs>
        <w:ind w:left="0"/>
        <w:contextualSpacing/>
        <w:jc w:val="both"/>
        <w:rPr>
          <w:sz w:val="22"/>
          <w:szCs w:val="22"/>
          <w:lang w:val="en-GB"/>
        </w:rPr>
      </w:pPr>
    </w:p>
    <w:p w:rsidR="006E101C" w:rsidRPr="006F0F22" w:rsidRDefault="002E32B3" w:rsidP="00A03B22">
      <w:pPr>
        <w:pStyle w:val="Footer"/>
        <w:numPr>
          <w:ilvl w:val="0"/>
          <w:numId w:val="24"/>
        </w:numPr>
        <w:tabs>
          <w:tab w:val="clear" w:pos="4320"/>
          <w:tab w:val="clear" w:pos="8640"/>
        </w:tabs>
        <w:ind w:left="0" w:firstLine="0"/>
        <w:contextualSpacing/>
        <w:jc w:val="both"/>
        <w:rPr>
          <w:sz w:val="22"/>
          <w:szCs w:val="22"/>
          <w:lang w:val="en-GB"/>
        </w:rPr>
      </w:pPr>
      <w:r w:rsidRPr="006F0F22">
        <w:rPr>
          <w:sz w:val="22"/>
          <w:szCs w:val="22"/>
          <w:lang w:val="en-GB"/>
        </w:rPr>
        <w:t xml:space="preserve">The </w:t>
      </w:r>
      <w:r w:rsidR="00DA54DC" w:rsidRPr="006F0F22">
        <w:rPr>
          <w:sz w:val="22"/>
          <w:szCs w:val="22"/>
          <w:lang w:val="en-GB"/>
        </w:rPr>
        <w:t xml:space="preserve">overall </w:t>
      </w:r>
      <w:r w:rsidRPr="006F0F22">
        <w:rPr>
          <w:sz w:val="22"/>
          <w:szCs w:val="22"/>
          <w:lang w:val="en-GB"/>
        </w:rPr>
        <w:t xml:space="preserve">project </w:t>
      </w:r>
      <w:r w:rsidR="009A48C2" w:rsidRPr="006F0F22">
        <w:rPr>
          <w:sz w:val="22"/>
          <w:szCs w:val="22"/>
          <w:lang w:val="en-GB"/>
        </w:rPr>
        <w:t xml:space="preserve">goal </w:t>
      </w:r>
      <w:r w:rsidRPr="006F0F22">
        <w:rPr>
          <w:sz w:val="22"/>
          <w:szCs w:val="22"/>
          <w:lang w:val="en-GB"/>
        </w:rPr>
        <w:t xml:space="preserve">is thus to strengthen the financial and operational framework of the National Protected Area System. </w:t>
      </w:r>
      <w:r w:rsidR="00354234" w:rsidRPr="006F0F22">
        <w:rPr>
          <w:sz w:val="22"/>
          <w:szCs w:val="22"/>
          <w:lang w:val="en-GB"/>
        </w:rPr>
        <w:t xml:space="preserve">To achieve this, the project </w:t>
      </w:r>
      <w:r w:rsidR="006E101C" w:rsidRPr="006F0F22">
        <w:rPr>
          <w:sz w:val="22"/>
          <w:szCs w:val="22"/>
          <w:lang w:val="en-GB"/>
        </w:rPr>
        <w:t>has two components which directly address the main barriers identified:</w:t>
      </w:r>
    </w:p>
    <w:p w:rsidR="00A03B22" w:rsidRPr="006F0F22" w:rsidRDefault="00A03B22" w:rsidP="00A03B22">
      <w:pPr>
        <w:pStyle w:val="Footer"/>
        <w:ind w:left="0"/>
        <w:contextualSpacing/>
        <w:jc w:val="both"/>
        <w:rPr>
          <w:sz w:val="22"/>
          <w:szCs w:val="22"/>
          <w:lang w:val="en-GB"/>
        </w:rPr>
      </w:pPr>
    </w:p>
    <w:p w:rsidR="00354234" w:rsidRPr="006F0F22" w:rsidRDefault="00354234" w:rsidP="00A03B22">
      <w:pPr>
        <w:pStyle w:val="Footer"/>
        <w:ind w:left="0"/>
        <w:contextualSpacing/>
        <w:jc w:val="both"/>
        <w:rPr>
          <w:color w:val="FF0000"/>
          <w:sz w:val="22"/>
          <w:szCs w:val="22"/>
          <w:lang w:val="en-GB"/>
        </w:rPr>
      </w:pPr>
      <w:r w:rsidRPr="006F0F22">
        <w:rPr>
          <w:b/>
          <w:i/>
          <w:sz w:val="22"/>
          <w:szCs w:val="22"/>
          <w:lang w:val="en-GB"/>
        </w:rPr>
        <w:t xml:space="preserve">Component 1: Strengthening the financial </w:t>
      </w:r>
      <w:r w:rsidR="00E33B5B" w:rsidRPr="006F0F22">
        <w:rPr>
          <w:b/>
          <w:i/>
          <w:sz w:val="22"/>
          <w:szCs w:val="22"/>
          <w:lang w:val="en-GB"/>
        </w:rPr>
        <w:t>framework of</w:t>
      </w:r>
      <w:r w:rsidRPr="006F0F22">
        <w:rPr>
          <w:b/>
          <w:i/>
          <w:sz w:val="22"/>
          <w:szCs w:val="22"/>
          <w:lang w:val="en-GB"/>
        </w:rPr>
        <w:t xml:space="preserve"> the national PA system. </w:t>
      </w:r>
    </w:p>
    <w:p w:rsidR="0098031A" w:rsidRPr="006F0F22" w:rsidRDefault="0098031A" w:rsidP="00A3071E">
      <w:pPr>
        <w:pStyle w:val="Footer"/>
        <w:tabs>
          <w:tab w:val="left" w:pos="0"/>
          <w:tab w:val="left" w:pos="227"/>
          <w:tab w:val="left" w:pos="340"/>
          <w:tab w:val="left" w:pos="397"/>
          <w:tab w:val="left" w:pos="720"/>
        </w:tabs>
        <w:ind w:left="0"/>
        <w:contextualSpacing/>
        <w:jc w:val="both"/>
        <w:rPr>
          <w:sz w:val="22"/>
          <w:szCs w:val="22"/>
          <w:lang w:val="en-GB"/>
        </w:rPr>
      </w:pPr>
    </w:p>
    <w:p w:rsidR="00527104" w:rsidRPr="006F0F22" w:rsidRDefault="00354234" w:rsidP="00A03B22">
      <w:pPr>
        <w:pStyle w:val="Footer"/>
        <w:numPr>
          <w:ilvl w:val="0"/>
          <w:numId w:val="24"/>
        </w:numPr>
        <w:tabs>
          <w:tab w:val="clear" w:pos="4320"/>
          <w:tab w:val="clear" w:pos="8640"/>
        </w:tabs>
        <w:ind w:left="0" w:firstLine="0"/>
        <w:contextualSpacing/>
        <w:jc w:val="both"/>
        <w:rPr>
          <w:sz w:val="22"/>
          <w:szCs w:val="22"/>
          <w:lang w:val="en-GB"/>
        </w:rPr>
      </w:pPr>
      <w:r w:rsidRPr="006F0F22">
        <w:rPr>
          <w:sz w:val="22"/>
          <w:szCs w:val="22"/>
          <w:lang w:val="en-GB"/>
        </w:rPr>
        <w:t>This</w:t>
      </w:r>
      <w:r w:rsidR="00435EE9" w:rsidRPr="006F0F22">
        <w:rPr>
          <w:sz w:val="22"/>
          <w:szCs w:val="22"/>
          <w:lang w:val="en-GB"/>
        </w:rPr>
        <w:t xml:space="preserve"> </w:t>
      </w:r>
      <w:r w:rsidRPr="006F0F22">
        <w:rPr>
          <w:sz w:val="22"/>
          <w:szCs w:val="22"/>
          <w:lang w:val="en-GB"/>
        </w:rPr>
        <w:t>component</w:t>
      </w:r>
      <w:r w:rsidR="00DC1382" w:rsidRPr="006F0F22">
        <w:rPr>
          <w:bCs/>
          <w:sz w:val="22"/>
          <w:szCs w:val="22"/>
          <w:lang w:val="en-GB"/>
        </w:rPr>
        <w:t xml:space="preserve"> will spearhead the capitalis</w:t>
      </w:r>
      <w:r w:rsidRPr="006F0F22">
        <w:rPr>
          <w:bCs/>
          <w:sz w:val="22"/>
          <w:szCs w:val="22"/>
          <w:lang w:val="en-GB"/>
        </w:rPr>
        <w:t xml:space="preserve">ation of the </w:t>
      </w:r>
      <w:r w:rsidR="00B203C1" w:rsidRPr="006F0F22">
        <w:rPr>
          <w:sz w:val="22"/>
          <w:szCs w:val="22"/>
          <w:lang w:val="en-GB"/>
        </w:rPr>
        <w:t>BioGuinea</w:t>
      </w:r>
      <w:r w:rsidRPr="006F0F22">
        <w:rPr>
          <w:sz w:val="22"/>
          <w:szCs w:val="22"/>
          <w:lang w:val="en-GB"/>
        </w:rPr>
        <w:t xml:space="preserve"> Foundation (</w:t>
      </w:r>
      <w:r w:rsidR="008A4887" w:rsidRPr="006F0F22">
        <w:rPr>
          <w:sz w:val="22"/>
          <w:szCs w:val="22"/>
          <w:lang w:val="en-GB"/>
        </w:rPr>
        <w:t>FBG</w:t>
      </w:r>
      <w:r w:rsidRPr="006F0F22">
        <w:rPr>
          <w:sz w:val="22"/>
          <w:szCs w:val="22"/>
          <w:lang w:val="en-GB"/>
        </w:rPr>
        <w:t>)</w:t>
      </w:r>
      <w:r w:rsidR="005A4AA0" w:rsidRPr="006F0F22">
        <w:rPr>
          <w:sz w:val="22"/>
          <w:szCs w:val="22"/>
          <w:lang w:val="en-GB"/>
        </w:rPr>
        <w:t>,</w:t>
      </w:r>
      <w:r w:rsidR="009A48C2" w:rsidRPr="006F0F22">
        <w:rPr>
          <w:sz w:val="22"/>
          <w:szCs w:val="22"/>
          <w:lang w:val="en-GB"/>
        </w:rPr>
        <w:t xml:space="preserve"> which i</w:t>
      </w:r>
      <w:r w:rsidR="00762FE1" w:rsidRPr="006F0F22">
        <w:rPr>
          <w:bCs/>
          <w:sz w:val="22"/>
          <w:szCs w:val="22"/>
          <w:lang w:val="en-GB"/>
        </w:rPr>
        <w:t>n early 2012</w:t>
      </w:r>
      <w:r w:rsidR="009A48C2" w:rsidRPr="006F0F22">
        <w:rPr>
          <w:bCs/>
          <w:sz w:val="22"/>
          <w:szCs w:val="22"/>
          <w:lang w:val="en-GB"/>
        </w:rPr>
        <w:t xml:space="preserve"> obtained </w:t>
      </w:r>
      <w:r w:rsidR="00762FE1" w:rsidRPr="006F0F22">
        <w:rPr>
          <w:bCs/>
          <w:sz w:val="22"/>
          <w:szCs w:val="22"/>
          <w:lang w:val="en-GB"/>
        </w:rPr>
        <w:t>charity status in the U</w:t>
      </w:r>
      <w:r w:rsidR="009A48C2" w:rsidRPr="006F0F22">
        <w:rPr>
          <w:bCs/>
          <w:sz w:val="22"/>
          <w:szCs w:val="22"/>
          <w:lang w:val="en-GB"/>
        </w:rPr>
        <w:t>K</w:t>
      </w:r>
      <w:r w:rsidR="00BE7D6F" w:rsidRPr="006F0F22">
        <w:rPr>
          <w:bCs/>
          <w:sz w:val="22"/>
          <w:szCs w:val="22"/>
          <w:lang w:val="en-GB"/>
        </w:rPr>
        <w:t xml:space="preserve"> </w:t>
      </w:r>
      <w:r w:rsidR="00762FE1" w:rsidRPr="006F0F22">
        <w:rPr>
          <w:bCs/>
          <w:sz w:val="22"/>
          <w:szCs w:val="22"/>
          <w:lang w:val="en-GB"/>
        </w:rPr>
        <w:t xml:space="preserve">Kingdom and </w:t>
      </w:r>
      <w:r w:rsidR="00BE7D6F" w:rsidRPr="006F0F22">
        <w:rPr>
          <w:bCs/>
          <w:sz w:val="22"/>
          <w:szCs w:val="22"/>
          <w:lang w:val="en-GB"/>
        </w:rPr>
        <w:t xml:space="preserve">for which </w:t>
      </w:r>
      <w:r w:rsidR="00762FE1" w:rsidRPr="006F0F22">
        <w:rPr>
          <w:bCs/>
          <w:sz w:val="22"/>
          <w:szCs w:val="22"/>
          <w:lang w:val="en-GB"/>
        </w:rPr>
        <w:t>a protocol was formalized with the Guinea</w:t>
      </w:r>
      <w:r w:rsidR="002C1FB4" w:rsidRPr="006F0F22">
        <w:rPr>
          <w:bCs/>
          <w:sz w:val="22"/>
          <w:szCs w:val="22"/>
          <w:lang w:val="en-GB"/>
        </w:rPr>
        <w:t>-</w:t>
      </w:r>
      <w:r w:rsidR="00762FE1" w:rsidRPr="006F0F22">
        <w:rPr>
          <w:bCs/>
          <w:sz w:val="22"/>
          <w:szCs w:val="22"/>
          <w:lang w:val="en-GB"/>
        </w:rPr>
        <w:t>Bissau Government.</w:t>
      </w:r>
      <w:r w:rsidR="00BE7D6F" w:rsidRPr="006F0F22">
        <w:rPr>
          <w:bCs/>
          <w:sz w:val="22"/>
          <w:szCs w:val="22"/>
          <w:lang w:val="en-GB"/>
        </w:rPr>
        <w:t xml:space="preserve"> </w:t>
      </w:r>
      <w:r w:rsidR="00E33B5B" w:rsidRPr="006F0F22">
        <w:rPr>
          <w:sz w:val="22"/>
          <w:szCs w:val="22"/>
          <w:lang w:val="en-GB"/>
        </w:rPr>
        <w:t xml:space="preserve">While the full capitalisation of the </w:t>
      </w:r>
      <w:r w:rsidR="008A4887" w:rsidRPr="006F0F22">
        <w:rPr>
          <w:sz w:val="22"/>
          <w:szCs w:val="22"/>
          <w:lang w:val="en-GB"/>
        </w:rPr>
        <w:t>FBG</w:t>
      </w:r>
      <w:r w:rsidR="00DC1382" w:rsidRPr="006F0F22">
        <w:rPr>
          <w:sz w:val="22"/>
          <w:szCs w:val="22"/>
          <w:lang w:val="en-GB"/>
        </w:rPr>
        <w:t xml:space="preserve"> endowment </w:t>
      </w:r>
      <w:r w:rsidR="00E33B5B" w:rsidRPr="006F0F22">
        <w:rPr>
          <w:sz w:val="22"/>
          <w:szCs w:val="22"/>
          <w:lang w:val="en-GB"/>
        </w:rPr>
        <w:t xml:space="preserve">with </w:t>
      </w:r>
      <w:r w:rsidR="00480153" w:rsidRPr="006F0F22">
        <w:rPr>
          <w:sz w:val="22"/>
          <w:szCs w:val="22"/>
          <w:lang w:val="en-GB"/>
        </w:rPr>
        <w:t>$</w:t>
      </w:r>
      <w:r w:rsidR="00E33B5B" w:rsidRPr="006F0F22">
        <w:rPr>
          <w:sz w:val="22"/>
          <w:szCs w:val="22"/>
          <w:lang w:val="en-GB"/>
        </w:rPr>
        <w:t xml:space="preserve">20 million is realistically a long term process, the project is designed to make a fundamental contribution by kick-starting and catalysing this long-delayed endeavour, presently considered by all key stakeholders as the most critical element for the future of biodiversity conservation and PA management in Guinea-Bissau. </w:t>
      </w:r>
      <w:r w:rsidR="00762FE1" w:rsidRPr="006F0F22">
        <w:rPr>
          <w:bCs/>
          <w:sz w:val="22"/>
          <w:szCs w:val="22"/>
          <w:lang w:val="en-GB"/>
        </w:rPr>
        <w:t xml:space="preserve">By investing </w:t>
      </w:r>
      <w:r w:rsidR="00480153" w:rsidRPr="006F0F22">
        <w:rPr>
          <w:bCs/>
          <w:sz w:val="22"/>
          <w:szCs w:val="22"/>
          <w:lang w:val="en-GB"/>
        </w:rPr>
        <w:t>$</w:t>
      </w:r>
      <w:r w:rsidR="00CD1C4C" w:rsidRPr="006F0F22">
        <w:rPr>
          <w:bCs/>
          <w:sz w:val="22"/>
          <w:szCs w:val="22"/>
          <w:lang w:val="en-GB"/>
        </w:rPr>
        <w:t>1</w:t>
      </w:r>
      <w:r w:rsidR="00F837F3" w:rsidRPr="006F0F22">
        <w:rPr>
          <w:bCs/>
          <w:sz w:val="22"/>
          <w:szCs w:val="22"/>
          <w:lang w:val="en-GB"/>
        </w:rPr>
        <w:t>,</w:t>
      </w:r>
      <w:r w:rsidR="002D4988" w:rsidRPr="006F0F22">
        <w:rPr>
          <w:bCs/>
          <w:sz w:val="22"/>
          <w:szCs w:val="22"/>
          <w:lang w:val="en-GB"/>
        </w:rPr>
        <w:t>3</w:t>
      </w:r>
      <w:r w:rsidR="00F837F3" w:rsidRPr="006F0F22">
        <w:rPr>
          <w:bCs/>
          <w:sz w:val="22"/>
          <w:szCs w:val="22"/>
          <w:lang w:val="en-GB"/>
        </w:rPr>
        <w:t>00,000</w:t>
      </w:r>
      <w:r w:rsidR="00435EE9" w:rsidRPr="006F0F22">
        <w:rPr>
          <w:bCs/>
          <w:sz w:val="22"/>
          <w:szCs w:val="22"/>
          <w:lang w:val="en-GB"/>
        </w:rPr>
        <w:t xml:space="preserve"> </w:t>
      </w:r>
      <w:r w:rsidR="00762FE1" w:rsidRPr="006F0F22">
        <w:rPr>
          <w:bCs/>
          <w:sz w:val="22"/>
          <w:szCs w:val="22"/>
          <w:lang w:val="en-GB"/>
        </w:rPr>
        <w:t xml:space="preserve">of </w:t>
      </w:r>
      <w:r w:rsidR="00C4730D" w:rsidRPr="006F0F22">
        <w:rPr>
          <w:bCs/>
          <w:sz w:val="22"/>
          <w:szCs w:val="22"/>
          <w:lang w:val="en-GB"/>
        </w:rPr>
        <w:t>GEF resources</w:t>
      </w:r>
      <w:r w:rsidR="000D27B6" w:rsidRPr="006F0F22">
        <w:rPr>
          <w:bCs/>
          <w:sz w:val="22"/>
          <w:szCs w:val="22"/>
          <w:lang w:val="en-GB"/>
        </w:rPr>
        <w:t xml:space="preserve"> as initial capital</w:t>
      </w:r>
      <w:r w:rsidR="00762FE1" w:rsidRPr="006F0F22">
        <w:rPr>
          <w:bCs/>
          <w:sz w:val="22"/>
          <w:szCs w:val="22"/>
          <w:lang w:val="en-GB"/>
        </w:rPr>
        <w:t>, the intervention proposed under this component provides a unique opportunity to trigger the long-awaited leveraging of funds</w:t>
      </w:r>
      <w:r w:rsidR="00C4730D" w:rsidRPr="006F0F22">
        <w:rPr>
          <w:bCs/>
          <w:sz w:val="22"/>
          <w:szCs w:val="22"/>
          <w:lang w:val="en-GB"/>
        </w:rPr>
        <w:t xml:space="preserve"> </w:t>
      </w:r>
      <w:r w:rsidR="000D27B6" w:rsidRPr="006F0F22">
        <w:rPr>
          <w:bCs/>
          <w:sz w:val="22"/>
          <w:szCs w:val="22"/>
          <w:lang w:val="en-GB"/>
        </w:rPr>
        <w:t xml:space="preserve">towards </w:t>
      </w:r>
      <w:r w:rsidR="00C4730D" w:rsidRPr="006F0F22">
        <w:rPr>
          <w:bCs/>
          <w:sz w:val="22"/>
          <w:szCs w:val="22"/>
          <w:lang w:val="en-GB"/>
        </w:rPr>
        <w:t>t</w:t>
      </w:r>
      <w:r w:rsidR="000D27B6" w:rsidRPr="006F0F22">
        <w:rPr>
          <w:bCs/>
          <w:sz w:val="22"/>
          <w:szCs w:val="22"/>
          <w:lang w:val="en-GB"/>
        </w:rPr>
        <w:t>he</w:t>
      </w:r>
      <w:r w:rsidR="00C4730D" w:rsidRPr="006F0F22">
        <w:rPr>
          <w:bCs/>
          <w:sz w:val="22"/>
          <w:szCs w:val="22"/>
          <w:lang w:val="en-GB"/>
        </w:rPr>
        <w:t xml:space="preserve"> FBG and its endowment</w:t>
      </w:r>
      <w:r w:rsidR="00762FE1" w:rsidRPr="006F0F22">
        <w:rPr>
          <w:bCs/>
          <w:sz w:val="22"/>
          <w:szCs w:val="22"/>
          <w:lang w:val="en-GB"/>
        </w:rPr>
        <w:t xml:space="preserve">. </w:t>
      </w:r>
      <w:r w:rsidR="00CD1C4C" w:rsidRPr="006F0F22">
        <w:rPr>
          <w:bCs/>
          <w:sz w:val="22"/>
          <w:szCs w:val="22"/>
          <w:lang w:val="en-GB"/>
        </w:rPr>
        <w:t xml:space="preserve">A critical mass of potential donors committed to the capitalization of the endowment fund has now been identified that would bring the </w:t>
      </w:r>
      <w:r w:rsidR="008A4887" w:rsidRPr="006F0F22">
        <w:rPr>
          <w:bCs/>
          <w:sz w:val="22"/>
          <w:szCs w:val="22"/>
          <w:lang w:val="en-GB"/>
        </w:rPr>
        <w:t>FBG</w:t>
      </w:r>
      <w:r w:rsidR="00CD1C4C" w:rsidRPr="006F0F22">
        <w:rPr>
          <w:bCs/>
          <w:sz w:val="22"/>
          <w:szCs w:val="22"/>
          <w:lang w:val="en-GB"/>
        </w:rPr>
        <w:t xml:space="preserve"> above the target</w:t>
      </w:r>
      <w:r w:rsidR="00C369B2" w:rsidRPr="006F0F22">
        <w:rPr>
          <w:bCs/>
          <w:sz w:val="22"/>
          <w:szCs w:val="22"/>
          <w:lang w:val="en-GB"/>
        </w:rPr>
        <w:t>ed</w:t>
      </w:r>
      <w:r w:rsidR="00CD1C4C" w:rsidRPr="006F0F22">
        <w:rPr>
          <w:bCs/>
          <w:sz w:val="22"/>
          <w:szCs w:val="22"/>
          <w:lang w:val="en-GB"/>
        </w:rPr>
        <w:t xml:space="preserve"> minimum threshold of </w:t>
      </w:r>
      <w:r w:rsidR="00480153" w:rsidRPr="006F0F22">
        <w:rPr>
          <w:bCs/>
          <w:sz w:val="22"/>
          <w:szCs w:val="22"/>
          <w:lang w:val="en-GB"/>
        </w:rPr>
        <w:t>$</w:t>
      </w:r>
      <w:r w:rsidR="00CD1C4C" w:rsidRPr="006F0F22">
        <w:rPr>
          <w:bCs/>
          <w:sz w:val="22"/>
          <w:szCs w:val="22"/>
          <w:lang w:val="en-GB"/>
        </w:rPr>
        <w:t>5</w:t>
      </w:r>
      <w:r w:rsidR="00EF4F5D" w:rsidRPr="006F0F22">
        <w:rPr>
          <w:bCs/>
          <w:sz w:val="22"/>
          <w:szCs w:val="22"/>
          <w:lang w:val="en-GB"/>
        </w:rPr>
        <w:t>,000,000</w:t>
      </w:r>
      <w:r w:rsidR="00CD1C4C" w:rsidRPr="006F0F22">
        <w:rPr>
          <w:bCs/>
          <w:sz w:val="22"/>
          <w:szCs w:val="22"/>
          <w:lang w:val="en-GB"/>
        </w:rPr>
        <w:t xml:space="preserve">: </w:t>
      </w:r>
      <w:r w:rsidR="002D4988" w:rsidRPr="006F0F22">
        <w:rPr>
          <w:bCs/>
          <w:sz w:val="22"/>
          <w:szCs w:val="22"/>
          <w:lang w:val="en-GB"/>
        </w:rPr>
        <w:t xml:space="preserve">a total of </w:t>
      </w:r>
      <w:r w:rsidR="00480153" w:rsidRPr="006F0F22">
        <w:rPr>
          <w:bCs/>
          <w:sz w:val="22"/>
          <w:szCs w:val="22"/>
          <w:lang w:val="en-GB"/>
        </w:rPr>
        <w:t>$</w:t>
      </w:r>
      <w:r w:rsidR="00625C31" w:rsidRPr="006F0F22">
        <w:rPr>
          <w:bCs/>
          <w:sz w:val="22"/>
          <w:szCs w:val="22"/>
          <w:lang w:val="en-GB"/>
        </w:rPr>
        <w:t>8</w:t>
      </w:r>
      <w:r w:rsidR="008A147A" w:rsidRPr="006F0F22">
        <w:rPr>
          <w:bCs/>
          <w:sz w:val="22"/>
          <w:szCs w:val="22"/>
          <w:lang w:val="en-GB"/>
        </w:rPr>
        <w:t>,</w:t>
      </w:r>
      <w:r w:rsidR="00625C31" w:rsidRPr="006F0F22">
        <w:rPr>
          <w:bCs/>
          <w:sz w:val="22"/>
          <w:szCs w:val="22"/>
          <w:lang w:val="en-GB"/>
        </w:rPr>
        <w:t>6</w:t>
      </w:r>
      <w:r w:rsidR="00EF4F5D" w:rsidRPr="006F0F22">
        <w:rPr>
          <w:bCs/>
          <w:sz w:val="22"/>
          <w:szCs w:val="22"/>
          <w:lang w:val="en-GB"/>
        </w:rPr>
        <w:t xml:space="preserve">00,000 </w:t>
      </w:r>
      <w:r w:rsidR="00762FE1" w:rsidRPr="006F0F22">
        <w:rPr>
          <w:bCs/>
          <w:sz w:val="22"/>
          <w:szCs w:val="22"/>
          <w:lang w:val="en-GB"/>
        </w:rPr>
        <w:t xml:space="preserve">will be injected into </w:t>
      </w:r>
      <w:r w:rsidR="0005145D" w:rsidRPr="006F0F22">
        <w:rPr>
          <w:bCs/>
          <w:sz w:val="22"/>
          <w:szCs w:val="22"/>
          <w:lang w:val="en-GB"/>
        </w:rPr>
        <w:t xml:space="preserve">the </w:t>
      </w:r>
      <w:r w:rsidR="008A4887" w:rsidRPr="006F0F22">
        <w:rPr>
          <w:bCs/>
          <w:sz w:val="22"/>
          <w:szCs w:val="22"/>
          <w:lang w:val="en-GB"/>
        </w:rPr>
        <w:t>FBG</w:t>
      </w:r>
      <w:r w:rsidR="00762FE1" w:rsidRPr="006F0F22">
        <w:rPr>
          <w:bCs/>
          <w:sz w:val="22"/>
          <w:szCs w:val="22"/>
          <w:lang w:val="en-GB"/>
        </w:rPr>
        <w:t xml:space="preserve"> </w:t>
      </w:r>
      <w:r w:rsidR="00A4765F" w:rsidRPr="006F0F22">
        <w:rPr>
          <w:bCs/>
          <w:sz w:val="22"/>
          <w:szCs w:val="22"/>
          <w:lang w:val="en-GB"/>
        </w:rPr>
        <w:t xml:space="preserve">endowment </w:t>
      </w:r>
      <w:r w:rsidR="00597F5F" w:rsidRPr="006F0F22">
        <w:rPr>
          <w:bCs/>
          <w:sz w:val="22"/>
          <w:szCs w:val="22"/>
          <w:lang w:val="en-GB"/>
        </w:rPr>
        <w:t xml:space="preserve">over the </w:t>
      </w:r>
      <w:r w:rsidR="00597F5F" w:rsidRPr="006F0F22">
        <w:rPr>
          <w:bCs/>
          <w:sz w:val="22"/>
          <w:szCs w:val="22"/>
          <w:lang w:val="en-GB"/>
        </w:rPr>
        <w:lastRenderedPageBreak/>
        <w:t>course of the project</w:t>
      </w:r>
      <w:r w:rsidR="00192125" w:rsidRPr="006F0F22">
        <w:rPr>
          <w:bCs/>
          <w:sz w:val="22"/>
          <w:szCs w:val="22"/>
          <w:lang w:val="en-GB"/>
        </w:rPr>
        <w:t xml:space="preserve">. The allocation of the GEF and co-financing resources to the endowment capital and </w:t>
      </w:r>
      <w:r w:rsidR="0024234D" w:rsidRPr="006F0F22">
        <w:rPr>
          <w:bCs/>
          <w:sz w:val="22"/>
          <w:szCs w:val="22"/>
          <w:lang w:val="en-GB"/>
        </w:rPr>
        <w:t xml:space="preserve">to </w:t>
      </w:r>
      <w:r w:rsidR="00192125" w:rsidRPr="006F0F22">
        <w:rPr>
          <w:bCs/>
          <w:sz w:val="22"/>
          <w:szCs w:val="22"/>
          <w:lang w:val="en-GB"/>
        </w:rPr>
        <w:t>the accompanying activities of Component 1, respectively</w:t>
      </w:r>
      <w:r w:rsidR="0024234D" w:rsidRPr="006F0F22">
        <w:rPr>
          <w:bCs/>
          <w:sz w:val="22"/>
          <w:szCs w:val="22"/>
          <w:lang w:val="en-GB"/>
        </w:rPr>
        <w:t>,</w:t>
      </w:r>
      <w:r w:rsidR="00192125" w:rsidRPr="006F0F22">
        <w:rPr>
          <w:bCs/>
          <w:sz w:val="22"/>
          <w:szCs w:val="22"/>
          <w:lang w:val="en-GB"/>
        </w:rPr>
        <w:t xml:space="preserve"> is </w:t>
      </w:r>
      <w:r w:rsidR="00762FE1" w:rsidRPr="006F0F22">
        <w:rPr>
          <w:bCs/>
          <w:sz w:val="22"/>
          <w:szCs w:val="22"/>
          <w:lang w:val="en-GB"/>
        </w:rPr>
        <w:t xml:space="preserve">as follows: </w:t>
      </w:r>
    </w:p>
    <w:p w:rsidR="00527104" w:rsidRPr="006F0F22" w:rsidRDefault="00527104" w:rsidP="00527104">
      <w:pPr>
        <w:pStyle w:val="Footer"/>
        <w:tabs>
          <w:tab w:val="clear" w:pos="4320"/>
          <w:tab w:val="clear" w:pos="8640"/>
        </w:tabs>
        <w:ind w:left="0"/>
        <w:contextualSpacing/>
        <w:jc w:val="both"/>
        <w:rPr>
          <w:bCs/>
          <w:sz w:val="22"/>
          <w:szCs w:val="22"/>
          <w:lang w:val="en-GB"/>
        </w:rPr>
      </w:pPr>
    </w:p>
    <w:tbl>
      <w:tblPr>
        <w:tblStyle w:val="TableGrid"/>
        <w:tblW w:w="11056" w:type="dxa"/>
        <w:tblInd w:w="108" w:type="dxa"/>
        <w:tblLook w:val="04A0" w:firstRow="1" w:lastRow="0" w:firstColumn="1" w:lastColumn="0" w:noHBand="0" w:noVBand="1"/>
      </w:tblPr>
      <w:tblGrid>
        <w:gridCol w:w="5103"/>
        <w:gridCol w:w="3544"/>
        <w:gridCol w:w="2409"/>
      </w:tblGrid>
      <w:tr w:rsidR="00527104" w:rsidRPr="006F0F22" w:rsidTr="0000186A">
        <w:tc>
          <w:tcPr>
            <w:tcW w:w="5103" w:type="dxa"/>
          </w:tcPr>
          <w:p w:rsidR="00527104" w:rsidRPr="006F0F22" w:rsidRDefault="00527104" w:rsidP="002A79FE">
            <w:pPr>
              <w:pStyle w:val="Footer"/>
              <w:tabs>
                <w:tab w:val="clear" w:pos="4320"/>
                <w:tab w:val="clear" w:pos="8640"/>
              </w:tabs>
              <w:ind w:left="0"/>
              <w:contextualSpacing/>
              <w:jc w:val="center"/>
              <w:rPr>
                <w:b/>
                <w:sz w:val="20"/>
                <w:szCs w:val="20"/>
                <w:lang w:val="en-GB"/>
              </w:rPr>
            </w:pPr>
            <w:r w:rsidRPr="006F0F22">
              <w:rPr>
                <w:b/>
                <w:sz w:val="20"/>
                <w:szCs w:val="20"/>
                <w:lang w:val="en-GB"/>
              </w:rPr>
              <w:t>Source of funding</w:t>
            </w:r>
          </w:p>
        </w:tc>
        <w:tc>
          <w:tcPr>
            <w:tcW w:w="3544" w:type="dxa"/>
          </w:tcPr>
          <w:p w:rsidR="00527104" w:rsidRPr="006F0F22" w:rsidRDefault="00527104" w:rsidP="002A79FE">
            <w:pPr>
              <w:pStyle w:val="Footer"/>
              <w:tabs>
                <w:tab w:val="clear" w:pos="4320"/>
                <w:tab w:val="clear" w:pos="8640"/>
              </w:tabs>
              <w:ind w:left="0"/>
              <w:contextualSpacing/>
              <w:jc w:val="center"/>
              <w:rPr>
                <w:b/>
                <w:sz w:val="20"/>
                <w:szCs w:val="20"/>
                <w:lang w:val="en-GB"/>
              </w:rPr>
            </w:pPr>
            <w:r w:rsidRPr="006F0F22">
              <w:rPr>
                <w:b/>
                <w:sz w:val="20"/>
                <w:szCs w:val="20"/>
                <w:lang w:val="en-GB"/>
              </w:rPr>
              <w:t>Component 1: Endowment capital</w:t>
            </w:r>
          </w:p>
        </w:tc>
        <w:tc>
          <w:tcPr>
            <w:tcW w:w="2409" w:type="dxa"/>
          </w:tcPr>
          <w:p w:rsidR="00527104" w:rsidRPr="006F0F22" w:rsidRDefault="00527104" w:rsidP="000F2E51">
            <w:pPr>
              <w:pStyle w:val="Footer"/>
              <w:tabs>
                <w:tab w:val="clear" w:pos="4320"/>
                <w:tab w:val="clear" w:pos="8640"/>
              </w:tabs>
              <w:ind w:left="0"/>
              <w:contextualSpacing/>
              <w:jc w:val="center"/>
              <w:rPr>
                <w:b/>
                <w:sz w:val="20"/>
                <w:szCs w:val="20"/>
                <w:lang w:val="en-GB"/>
              </w:rPr>
            </w:pPr>
            <w:r w:rsidRPr="006F0F22">
              <w:rPr>
                <w:b/>
                <w:sz w:val="20"/>
                <w:szCs w:val="20"/>
                <w:lang w:val="en-GB"/>
              </w:rPr>
              <w:t>Component 1: Activities</w:t>
            </w:r>
          </w:p>
        </w:tc>
      </w:tr>
      <w:tr w:rsidR="00527104" w:rsidRPr="006F0F22" w:rsidTr="0000186A">
        <w:tc>
          <w:tcPr>
            <w:tcW w:w="5103" w:type="dxa"/>
          </w:tcPr>
          <w:p w:rsidR="00527104" w:rsidRPr="006F0F22" w:rsidRDefault="00527104" w:rsidP="002A79FE">
            <w:pPr>
              <w:pStyle w:val="Footer"/>
              <w:tabs>
                <w:tab w:val="clear" w:pos="4320"/>
                <w:tab w:val="clear" w:pos="8640"/>
              </w:tabs>
              <w:ind w:left="0"/>
              <w:contextualSpacing/>
              <w:rPr>
                <w:sz w:val="20"/>
                <w:szCs w:val="20"/>
                <w:lang w:val="en-GB"/>
              </w:rPr>
            </w:pPr>
            <w:r w:rsidRPr="006F0F22">
              <w:rPr>
                <w:sz w:val="20"/>
                <w:szCs w:val="20"/>
                <w:lang w:val="en-GB"/>
              </w:rPr>
              <w:t>GEF</w:t>
            </w:r>
          </w:p>
        </w:tc>
        <w:tc>
          <w:tcPr>
            <w:tcW w:w="3544" w:type="dxa"/>
          </w:tcPr>
          <w:p w:rsidR="00527104" w:rsidRPr="006F0F22" w:rsidRDefault="00527104" w:rsidP="002A79FE">
            <w:pPr>
              <w:pStyle w:val="Footer"/>
              <w:tabs>
                <w:tab w:val="clear" w:pos="4320"/>
                <w:tab w:val="clear" w:pos="8640"/>
              </w:tabs>
              <w:ind w:left="0"/>
              <w:contextualSpacing/>
              <w:jc w:val="right"/>
              <w:rPr>
                <w:sz w:val="20"/>
                <w:szCs w:val="20"/>
                <w:lang w:val="en-GB"/>
              </w:rPr>
            </w:pPr>
            <w:r w:rsidRPr="006F0F22">
              <w:rPr>
                <w:sz w:val="20"/>
                <w:szCs w:val="20"/>
                <w:lang w:val="en-GB"/>
              </w:rPr>
              <w:t>$1,300,000</w:t>
            </w:r>
          </w:p>
        </w:tc>
        <w:tc>
          <w:tcPr>
            <w:tcW w:w="2409" w:type="dxa"/>
          </w:tcPr>
          <w:p w:rsidR="00527104" w:rsidRPr="006F0F22" w:rsidRDefault="00527104" w:rsidP="002A79FE">
            <w:pPr>
              <w:pStyle w:val="Footer"/>
              <w:tabs>
                <w:tab w:val="clear" w:pos="4320"/>
                <w:tab w:val="clear" w:pos="8640"/>
              </w:tabs>
              <w:ind w:left="0"/>
              <w:contextualSpacing/>
              <w:jc w:val="right"/>
              <w:rPr>
                <w:sz w:val="20"/>
                <w:szCs w:val="20"/>
                <w:lang w:val="en-GB"/>
              </w:rPr>
            </w:pPr>
          </w:p>
        </w:tc>
      </w:tr>
      <w:tr w:rsidR="00527104" w:rsidRPr="006F0F22" w:rsidTr="0000186A">
        <w:tc>
          <w:tcPr>
            <w:tcW w:w="5103" w:type="dxa"/>
          </w:tcPr>
          <w:p w:rsidR="00527104" w:rsidRPr="006F0F22" w:rsidRDefault="00527104" w:rsidP="002A79FE">
            <w:pPr>
              <w:pStyle w:val="Footer"/>
              <w:tabs>
                <w:tab w:val="clear" w:pos="4320"/>
                <w:tab w:val="clear" w:pos="8640"/>
              </w:tabs>
              <w:ind w:left="0"/>
              <w:contextualSpacing/>
              <w:rPr>
                <w:sz w:val="20"/>
                <w:szCs w:val="20"/>
                <w:lang w:val="en-GB"/>
              </w:rPr>
            </w:pPr>
            <w:r w:rsidRPr="006F0F22">
              <w:rPr>
                <w:sz w:val="20"/>
                <w:szCs w:val="20"/>
                <w:lang w:val="en-GB"/>
              </w:rPr>
              <w:t>UNDP</w:t>
            </w:r>
          </w:p>
        </w:tc>
        <w:tc>
          <w:tcPr>
            <w:tcW w:w="3544" w:type="dxa"/>
          </w:tcPr>
          <w:p w:rsidR="00527104" w:rsidRPr="006F0F22" w:rsidRDefault="00527104" w:rsidP="002A79FE">
            <w:pPr>
              <w:pStyle w:val="Footer"/>
              <w:tabs>
                <w:tab w:val="clear" w:pos="4320"/>
                <w:tab w:val="clear" w:pos="8640"/>
              </w:tabs>
              <w:ind w:left="0"/>
              <w:contextualSpacing/>
              <w:jc w:val="right"/>
              <w:rPr>
                <w:sz w:val="20"/>
                <w:szCs w:val="20"/>
                <w:lang w:val="en-GB"/>
              </w:rPr>
            </w:pPr>
          </w:p>
        </w:tc>
        <w:tc>
          <w:tcPr>
            <w:tcW w:w="2409" w:type="dxa"/>
          </w:tcPr>
          <w:p w:rsidR="00527104" w:rsidRPr="006F0F22" w:rsidRDefault="00527104" w:rsidP="002A79FE">
            <w:pPr>
              <w:pStyle w:val="Footer"/>
              <w:tabs>
                <w:tab w:val="clear" w:pos="4320"/>
                <w:tab w:val="clear" w:pos="8640"/>
              </w:tabs>
              <w:ind w:left="0"/>
              <w:contextualSpacing/>
              <w:jc w:val="right"/>
              <w:rPr>
                <w:sz w:val="20"/>
                <w:szCs w:val="20"/>
                <w:lang w:val="en-GB"/>
              </w:rPr>
            </w:pPr>
            <w:r w:rsidRPr="006F0F22">
              <w:rPr>
                <w:sz w:val="20"/>
                <w:szCs w:val="20"/>
                <w:lang w:val="en-GB"/>
              </w:rPr>
              <w:t>$100,000</w:t>
            </w:r>
          </w:p>
        </w:tc>
      </w:tr>
      <w:tr w:rsidR="00527104" w:rsidRPr="006F0F22" w:rsidTr="0000186A">
        <w:tc>
          <w:tcPr>
            <w:tcW w:w="5103" w:type="dxa"/>
          </w:tcPr>
          <w:p w:rsidR="00527104" w:rsidRPr="006F0F22" w:rsidRDefault="00527104" w:rsidP="002A79FE">
            <w:pPr>
              <w:pStyle w:val="Footer"/>
              <w:tabs>
                <w:tab w:val="clear" w:pos="4320"/>
                <w:tab w:val="clear" w:pos="8640"/>
              </w:tabs>
              <w:ind w:left="0"/>
              <w:contextualSpacing/>
              <w:rPr>
                <w:sz w:val="20"/>
                <w:szCs w:val="20"/>
                <w:lang w:val="en-GB"/>
              </w:rPr>
            </w:pPr>
            <w:r w:rsidRPr="006F0F22">
              <w:rPr>
                <w:sz w:val="20"/>
                <w:szCs w:val="20"/>
                <w:lang w:val="en-GB"/>
              </w:rPr>
              <w:t>FFEM</w:t>
            </w:r>
            <w:r w:rsidR="000F2E51" w:rsidRPr="006F0F22">
              <w:rPr>
                <w:rStyle w:val="FootnoteReference"/>
                <w:sz w:val="20"/>
                <w:szCs w:val="20"/>
                <w:lang w:val="en-GB"/>
              </w:rPr>
              <w:footnoteReference w:id="18"/>
            </w:r>
          </w:p>
        </w:tc>
        <w:tc>
          <w:tcPr>
            <w:tcW w:w="3544" w:type="dxa"/>
          </w:tcPr>
          <w:p w:rsidR="00527104" w:rsidRPr="006F0F22" w:rsidRDefault="00527104" w:rsidP="002A79FE">
            <w:pPr>
              <w:pStyle w:val="Footer"/>
              <w:tabs>
                <w:tab w:val="clear" w:pos="4320"/>
                <w:tab w:val="clear" w:pos="8640"/>
              </w:tabs>
              <w:ind w:left="0"/>
              <w:contextualSpacing/>
              <w:jc w:val="right"/>
              <w:rPr>
                <w:sz w:val="20"/>
                <w:szCs w:val="20"/>
                <w:lang w:val="en-GB"/>
              </w:rPr>
            </w:pPr>
            <w:r w:rsidRPr="006F0F22">
              <w:rPr>
                <w:sz w:val="20"/>
                <w:szCs w:val="20"/>
                <w:lang w:val="en-GB"/>
              </w:rPr>
              <w:t>$1,300,000</w:t>
            </w:r>
          </w:p>
        </w:tc>
        <w:tc>
          <w:tcPr>
            <w:tcW w:w="2409" w:type="dxa"/>
          </w:tcPr>
          <w:p w:rsidR="00527104" w:rsidRPr="006F0F22" w:rsidRDefault="00527104" w:rsidP="002A79FE">
            <w:pPr>
              <w:pStyle w:val="Footer"/>
              <w:tabs>
                <w:tab w:val="clear" w:pos="4320"/>
                <w:tab w:val="clear" w:pos="8640"/>
              </w:tabs>
              <w:ind w:left="0"/>
              <w:contextualSpacing/>
              <w:jc w:val="right"/>
              <w:rPr>
                <w:sz w:val="20"/>
                <w:szCs w:val="20"/>
                <w:lang w:val="en-GB"/>
              </w:rPr>
            </w:pPr>
          </w:p>
        </w:tc>
      </w:tr>
      <w:tr w:rsidR="00527104" w:rsidRPr="006F0F22" w:rsidTr="0000186A">
        <w:tc>
          <w:tcPr>
            <w:tcW w:w="5103" w:type="dxa"/>
          </w:tcPr>
          <w:p w:rsidR="00527104" w:rsidRPr="006F0F22" w:rsidRDefault="00527104" w:rsidP="002A79FE">
            <w:pPr>
              <w:pStyle w:val="Footer"/>
              <w:tabs>
                <w:tab w:val="clear" w:pos="4320"/>
                <w:tab w:val="clear" w:pos="8640"/>
              </w:tabs>
              <w:ind w:left="0"/>
              <w:contextualSpacing/>
              <w:rPr>
                <w:sz w:val="20"/>
                <w:szCs w:val="20"/>
                <w:lang w:val="en-GB"/>
              </w:rPr>
            </w:pPr>
            <w:r w:rsidRPr="006F0F22">
              <w:rPr>
                <w:sz w:val="20"/>
                <w:szCs w:val="20"/>
                <w:lang w:val="en-GB"/>
              </w:rPr>
              <w:t>EU-Guinea-Bissau fisheries agreement</w:t>
            </w:r>
            <w:r w:rsidR="000F2E51" w:rsidRPr="006F0F22">
              <w:rPr>
                <w:rStyle w:val="FootnoteReference"/>
                <w:bCs/>
                <w:sz w:val="22"/>
                <w:szCs w:val="22"/>
                <w:lang w:val="en-GB"/>
              </w:rPr>
              <w:footnoteReference w:id="19"/>
            </w:r>
          </w:p>
        </w:tc>
        <w:tc>
          <w:tcPr>
            <w:tcW w:w="3544" w:type="dxa"/>
          </w:tcPr>
          <w:p w:rsidR="00527104" w:rsidRPr="006F0F22" w:rsidRDefault="00527104" w:rsidP="002A79FE">
            <w:pPr>
              <w:pStyle w:val="Footer"/>
              <w:tabs>
                <w:tab w:val="clear" w:pos="4320"/>
                <w:tab w:val="clear" w:pos="8640"/>
              </w:tabs>
              <w:ind w:left="0"/>
              <w:contextualSpacing/>
              <w:jc w:val="right"/>
              <w:rPr>
                <w:sz w:val="20"/>
                <w:szCs w:val="20"/>
                <w:lang w:val="en-GB"/>
              </w:rPr>
            </w:pPr>
            <w:r w:rsidRPr="006F0F22">
              <w:rPr>
                <w:sz w:val="20"/>
                <w:szCs w:val="20"/>
                <w:lang w:val="en-GB"/>
              </w:rPr>
              <w:t>$1,000,000</w:t>
            </w:r>
          </w:p>
        </w:tc>
        <w:tc>
          <w:tcPr>
            <w:tcW w:w="2409" w:type="dxa"/>
          </w:tcPr>
          <w:p w:rsidR="00527104" w:rsidRPr="006F0F22" w:rsidRDefault="00527104" w:rsidP="002A79FE">
            <w:pPr>
              <w:pStyle w:val="Footer"/>
              <w:tabs>
                <w:tab w:val="clear" w:pos="4320"/>
                <w:tab w:val="clear" w:pos="8640"/>
              </w:tabs>
              <w:ind w:left="0"/>
              <w:contextualSpacing/>
              <w:jc w:val="right"/>
              <w:rPr>
                <w:sz w:val="20"/>
                <w:szCs w:val="20"/>
                <w:lang w:val="en-GB"/>
              </w:rPr>
            </w:pPr>
          </w:p>
        </w:tc>
      </w:tr>
      <w:tr w:rsidR="00527104" w:rsidRPr="006F0F22" w:rsidTr="0000186A">
        <w:tc>
          <w:tcPr>
            <w:tcW w:w="5103" w:type="dxa"/>
          </w:tcPr>
          <w:p w:rsidR="00527104" w:rsidRPr="006F0F22" w:rsidRDefault="002F1599" w:rsidP="000F2E51">
            <w:pPr>
              <w:pStyle w:val="Footer"/>
              <w:tabs>
                <w:tab w:val="clear" w:pos="4320"/>
                <w:tab w:val="clear" w:pos="8640"/>
              </w:tabs>
              <w:ind w:left="0"/>
              <w:contextualSpacing/>
              <w:rPr>
                <w:sz w:val="20"/>
                <w:szCs w:val="20"/>
                <w:lang w:val="en-GB"/>
              </w:rPr>
            </w:pPr>
            <w:r w:rsidRPr="006F0F22">
              <w:rPr>
                <w:sz w:val="20"/>
                <w:szCs w:val="20"/>
                <w:lang w:val="en-GB"/>
              </w:rPr>
              <w:t>EU</w:t>
            </w:r>
            <w:r w:rsidR="004D7D1F" w:rsidRPr="006F0F22">
              <w:rPr>
                <w:sz w:val="20"/>
                <w:szCs w:val="20"/>
                <w:lang w:val="en-GB"/>
              </w:rPr>
              <w:t xml:space="preserve">: </w:t>
            </w:r>
            <w:r w:rsidR="000F2E51" w:rsidRPr="006F0F22">
              <w:rPr>
                <w:sz w:val="20"/>
                <w:szCs w:val="20"/>
                <w:lang w:val="en-GB"/>
              </w:rPr>
              <w:t>WAME</w:t>
            </w:r>
            <w:r w:rsidR="001567E4" w:rsidRPr="006F0F22">
              <w:rPr>
                <w:sz w:val="20"/>
                <w:szCs w:val="20"/>
                <w:lang w:val="en-GB"/>
              </w:rPr>
              <w:t>R Project</w:t>
            </w:r>
            <w:r w:rsidR="00527104" w:rsidRPr="006F0F22">
              <w:rPr>
                <w:sz w:val="20"/>
                <w:szCs w:val="20"/>
                <w:lang w:val="en-GB"/>
              </w:rPr>
              <w:t xml:space="preserve"> </w:t>
            </w:r>
          </w:p>
        </w:tc>
        <w:tc>
          <w:tcPr>
            <w:tcW w:w="3544" w:type="dxa"/>
          </w:tcPr>
          <w:p w:rsidR="00527104" w:rsidRPr="006F0F22" w:rsidRDefault="00527104" w:rsidP="002A79FE">
            <w:pPr>
              <w:pStyle w:val="Footer"/>
              <w:tabs>
                <w:tab w:val="clear" w:pos="4320"/>
                <w:tab w:val="clear" w:pos="8640"/>
              </w:tabs>
              <w:ind w:left="0"/>
              <w:contextualSpacing/>
              <w:jc w:val="right"/>
              <w:rPr>
                <w:sz w:val="20"/>
                <w:szCs w:val="20"/>
                <w:lang w:val="en-GB"/>
              </w:rPr>
            </w:pPr>
          </w:p>
        </w:tc>
        <w:tc>
          <w:tcPr>
            <w:tcW w:w="2409" w:type="dxa"/>
          </w:tcPr>
          <w:p w:rsidR="00527104" w:rsidRPr="006F0F22" w:rsidRDefault="00527104" w:rsidP="002A79FE">
            <w:pPr>
              <w:pStyle w:val="Footer"/>
              <w:tabs>
                <w:tab w:val="clear" w:pos="4320"/>
                <w:tab w:val="clear" w:pos="8640"/>
              </w:tabs>
              <w:ind w:left="0"/>
              <w:contextualSpacing/>
              <w:jc w:val="right"/>
              <w:rPr>
                <w:sz w:val="20"/>
                <w:szCs w:val="20"/>
                <w:lang w:val="en-GB"/>
              </w:rPr>
            </w:pPr>
            <w:r w:rsidRPr="006F0F22">
              <w:rPr>
                <w:sz w:val="20"/>
                <w:szCs w:val="20"/>
                <w:lang w:val="en-GB"/>
              </w:rPr>
              <w:t>$400,000</w:t>
            </w:r>
          </w:p>
        </w:tc>
      </w:tr>
      <w:tr w:rsidR="00527104" w:rsidRPr="006F0F22" w:rsidTr="0000186A">
        <w:tc>
          <w:tcPr>
            <w:tcW w:w="5103" w:type="dxa"/>
          </w:tcPr>
          <w:p w:rsidR="00527104" w:rsidRPr="006F0F22" w:rsidRDefault="00527104" w:rsidP="002A79FE">
            <w:pPr>
              <w:pStyle w:val="Footer"/>
              <w:tabs>
                <w:tab w:val="clear" w:pos="4320"/>
                <w:tab w:val="clear" w:pos="8640"/>
              </w:tabs>
              <w:ind w:left="0"/>
              <w:contextualSpacing/>
              <w:rPr>
                <w:sz w:val="20"/>
                <w:szCs w:val="20"/>
                <w:lang w:val="en-GB"/>
              </w:rPr>
            </w:pPr>
            <w:r w:rsidRPr="006F0F22">
              <w:rPr>
                <w:sz w:val="20"/>
                <w:szCs w:val="20"/>
                <w:lang w:val="en-GB"/>
              </w:rPr>
              <w:t>MAVA</w:t>
            </w:r>
            <w:r w:rsidR="000F2E51" w:rsidRPr="006F0F22">
              <w:rPr>
                <w:sz w:val="20"/>
                <w:szCs w:val="20"/>
                <w:lang w:val="en-GB"/>
              </w:rPr>
              <w:t xml:space="preserve"> Foundation</w:t>
            </w:r>
            <w:r w:rsidR="001567E4" w:rsidRPr="006F0F22">
              <w:rPr>
                <w:rStyle w:val="FootnoteReference"/>
                <w:sz w:val="20"/>
                <w:szCs w:val="20"/>
                <w:lang w:val="en-GB"/>
              </w:rPr>
              <w:footnoteReference w:id="20"/>
            </w:r>
          </w:p>
        </w:tc>
        <w:tc>
          <w:tcPr>
            <w:tcW w:w="3544" w:type="dxa"/>
          </w:tcPr>
          <w:p w:rsidR="00527104" w:rsidRPr="006F0F22" w:rsidRDefault="00527104" w:rsidP="002A79FE">
            <w:pPr>
              <w:pStyle w:val="Footer"/>
              <w:tabs>
                <w:tab w:val="clear" w:pos="4320"/>
                <w:tab w:val="clear" w:pos="8640"/>
              </w:tabs>
              <w:ind w:left="0"/>
              <w:contextualSpacing/>
              <w:jc w:val="right"/>
              <w:rPr>
                <w:sz w:val="20"/>
                <w:szCs w:val="20"/>
                <w:lang w:val="en-GB"/>
              </w:rPr>
            </w:pPr>
            <w:r w:rsidRPr="006F0F22">
              <w:rPr>
                <w:sz w:val="20"/>
                <w:szCs w:val="20"/>
                <w:lang w:val="en-GB"/>
              </w:rPr>
              <w:t>$2,000,000</w:t>
            </w:r>
          </w:p>
        </w:tc>
        <w:tc>
          <w:tcPr>
            <w:tcW w:w="2409" w:type="dxa"/>
          </w:tcPr>
          <w:p w:rsidR="00527104" w:rsidRPr="006F0F22" w:rsidRDefault="00527104" w:rsidP="002A79FE">
            <w:pPr>
              <w:pStyle w:val="Footer"/>
              <w:tabs>
                <w:tab w:val="clear" w:pos="4320"/>
                <w:tab w:val="clear" w:pos="8640"/>
              </w:tabs>
              <w:ind w:left="0"/>
              <w:contextualSpacing/>
              <w:jc w:val="right"/>
              <w:rPr>
                <w:sz w:val="20"/>
                <w:szCs w:val="20"/>
                <w:lang w:val="en-GB"/>
              </w:rPr>
            </w:pPr>
          </w:p>
        </w:tc>
      </w:tr>
      <w:tr w:rsidR="0000186A" w:rsidRPr="006F0F22" w:rsidTr="0000186A">
        <w:tc>
          <w:tcPr>
            <w:tcW w:w="5103" w:type="dxa"/>
          </w:tcPr>
          <w:p w:rsidR="001167DC" w:rsidRPr="006F0F22" w:rsidRDefault="001167DC" w:rsidP="0024234D">
            <w:pPr>
              <w:pStyle w:val="Footer"/>
              <w:tabs>
                <w:tab w:val="clear" w:pos="4320"/>
                <w:tab w:val="clear" w:pos="8640"/>
              </w:tabs>
              <w:ind w:left="0"/>
              <w:contextualSpacing/>
              <w:rPr>
                <w:sz w:val="20"/>
                <w:szCs w:val="20"/>
                <w:lang w:val="en-GB"/>
              </w:rPr>
            </w:pPr>
            <w:r w:rsidRPr="006F0F22">
              <w:rPr>
                <w:sz w:val="20"/>
                <w:szCs w:val="20"/>
                <w:lang w:val="en-GB"/>
              </w:rPr>
              <w:t>W</w:t>
            </w:r>
            <w:r w:rsidR="0024234D" w:rsidRPr="006F0F22">
              <w:rPr>
                <w:sz w:val="20"/>
                <w:szCs w:val="20"/>
                <w:lang w:val="en-GB"/>
              </w:rPr>
              <w:t xml:space="preserve">orld Bank: </w:t>
            </w:r>
            <w:r w:rsidRPr="006F0F22">
              <w:rPr>
                <w:sz w:val="20"/>
                <w:szCs w:val="20"/>
                <w:lang w:val="en-GB"/>
              </w:rPr>
              <w:t>IDA Project</w:t>
            </w:r>
          </w:p>
        </w:tc>
        <w:tc>
          <w:tcPr>
            <w:tcW w:w="3544" w:type="dxa"/>
          </w:tcPr>
          <w:p w:rsidR="001167DC" w:rsidRPr="006F0F22" w:rsidRDefault="001167DC" w:rsidP="002A79FE">
            <w:pPr>
              <w:pStyle w:val="Footer"/>
              <w:tabs>
                <w:tab w:val="clear" w:pos="4320"/>
                <w:tab w:val="clear" w:pos="8640"/>
              </w:tabs>
              <w:ind w:left="0"/>
              <w:contextualSpacing/>
              <w:jc w:val="right"/>
              <w:rPr>
                <w:sz w:val="20"/>
                <w:szCs w:val="20"/>
                <w:lang w:val="en-GB"/>
              </w:rPr>
            </w:pPr>
          </w:p>
        </w:tc>
        <w:tc>
          <w:tcPr>
            <w:tcW w:w="2409" w:type="dxa"/>
          </w:tcPr>
          <w:p w:rsidR="001167DC" w:rsidRPr="006F0F22" w:rsidRDefault="001167DC" w:rsidP="002A79FE">
            <w:pPr>
              <w:pStyle w:val="Footer"/>
              <w:tabs>
                <w:tab w:val="clear" w:pos="4320"/>
                <w:tab w:val="clear" w:pos="8640"/>
              </w:tabs>
              <w:ind w:left="0"/>
              <w:contextualSpacing/>
              <w:jc w:val="right"/>
              <w:rPr>
                <w:sz w:val="20"/>
                <w:szCs w:val="20"/>
                <w:lang w:val="en-GB"/>
              </w:rPr>
            </w:pPr>
            <w:r w:rsidRPr="006F0F22">
              <w:rPr>
                <w:sz w:val="20"/>
                <w:szCs w:val="20"/>
                <w:lang w:val="en-GB"/>
              </w:rPr>
              <w:t>$390,000</w:t>
            </w:r>
          </w:p>
        </w:tc>
      </w:tr>
      <w:tr w:rsidR="0000186A" w:rsidRPr="006F0F22" w:rsidTr="0000186A">
        <w:tc>
          <w:tcPr>
            <w:tcW w:w="5103" w:type="dxa"/>
          </w:tcPr>
          <w:p w:rsidR="001167DC" w:rsidRPr="006F0F22" w:rsidRDefault="0024234D" w:rsidP="0024234D">
            <w:pPr>
              <w:pStyle w:val="Footer"/>
              <w:tabs>
                <w:tab w:val="clear" w:pos="4320"/>
                <w:tab w:val="clear" w:pos="8640"/>
              </w:tabs>
              <w:ind w:left="0"/>
              <w:contextualSpacing/>
              <w:rPr>
                <w:sz w:val="20"/>
                <w:szCs w:val="20"/>
                <w:lang w:val="en-GB"/>
              </w:rPr>
            </w:pPr>
            <w:r w:rsidRPr="006F0F22">
              <w:rPr>
                <w:sz w:val="20"/>
                <w:szCs w:val="20"/>
                <w:lang w:val="en-GB"/>
              </w:rPr>
              <w:t>World Bank: a</w:t>
            </w:r>
            <w:r w:rsidR="001167DC" w:rsidRPr="006F0F22">
              <w:rPr>
                <w:sz w:val="20"/>
                <w:szCs w:val="20"/>
                <w:lang w:val="en-GB"/>
              </w:rPr>
              <w:t>voided-carbon revenues generated through REDD work in Guinea-Bissau</w:t>
            </w:r>
          </w:p>
        </w:tc>
        <w:tc>
          <w:tcPr>
            <w:tcW w:w="3544" w:type="dxa"/>
          </w:tcPr>
          <w:p w:rsidR="001167DC" w:rsidRPr="006F0F22" w:rsidRDefault="001167DC" w:rsidP="002A79FE">
            <w:pPr>
              <w:pStyle w:val="Footer"/>
              <w:tabs>
                <w:tab w:val="clear" w:pos="4320"/>
                <w:tab w:val="clear" w:pos="8640"/>
              </w:tabs>
              <w:ind w:left="0"/>
              <w:contextualSpacing/>
              <w:jc w:val="right"/>
              <w:rPr>
                <w:sz w:val="20"/>
                <w:szCs w:val="20"/>
                <w:lang w:val="en-GB"/>
              </w:rPr>
            </w:pPr>
            <w:r w:rsidRPr="006F0F22">
              <w:rPr>
                <w:sz w:val="20"/>
                <w:szCs w:val="20"/>
                <w:lang w:val="en-GB"/>
              </w:rPr>
              <w:t>$3,000,000</w:t>
            </w:r>
          </w:p>
        </w:tc>
        <w:tc>
          <w:tcPr>
            <w:tcW w:w="2409" w:type="dxa"/>
          </w:tcPr>
          <w:p w:rsidR="001167DC" w:rsidRPr="006F0F22" w:rsidRDefault="001167DC" w:rsidP="002A79FE">
            <w:pPr>
              <w:pStyle w:val="Footer"/>
              <w:tabs>
                <w:tab w:val="clear" w:pos="4320"/>
                <w:tab w:val="clear" w:pos="8640"/>
              </w:tabs>
              <w:ind w:left="0"/>
              <w:contextualSpacing/>
              <w:jc w:val="right"/>
              <w:rPr>
                <w:sz w:val="20"/>
                <w:szCs w:val="20"/>
                <w:lang w:val="en-GB"/>
              </w:rPr>
            </w:pPr>
          </w:p>
        </w:tc>
      </w:tr>
      <w:tr w:rsidR="00527104" w:rsidRPr="006F0F22" w:rsidTr="0000186A">
        <w:tc>
          <w:tcPr>
            <w:tcW w:w="5103" w:type="dxa"/>
          </w:tcPr>
          <w:p w:rsidR="00527104" w:rsidRPr="006F0F22" w:rsidRDefault="00E76F9B" w:rsidP="00E76F9B">
            <w:pPr>
              <w:pStyle w:val="Footer"/>
              <w:tabs>
                <w:tab w:val="clear" w:pos="4320"/>
                <w:tab w:val="clear" w:pos="8640"/>
              </w:tabs>
              <w:ind w:left="0"/>
              <w:contextualSpacing/>
              <w:jc w:val="both"/>
              <w:rPr>
                <w:b/>
                <w:sz w:val="20"/>
                <w:szCs w:val="20"/>
                <w:lang w:val="en-GB"/>
              </w:rPr>
            </w:pPr>
            <w:r w:rsidRPr="006F0F22">
              <w:rPr>
                <w:b/>
                <w:sz w:val="20"/>
                <w:szCs w:val="20"/>
                <w:lang w:val="en-GB"/>
              </w:rPr>
              <w:t>Subt</w:t>
            </w:r>
            <w:r w:rsidR="00527104" w:rsidRPr="006F0F22">
              <w:rPr>
                <w:b/>
                <w:sz w:val="20"/>
                <w:szCs w:val="20"/>
                <w:lang w:val="en-GB"/>
              </w:rPr>
              <w:t>otal</w:t>
            </w:r>
            <w:r w:rsidRPr="006F0F22">
              <w:rPr>
                <w:b/>
                <w:sz w:val="20"/>
                <w:szCs w:val="20"/>
                <w:lang w:val="en-GB"/>
              </w:rPr>
              <w:t>s</w:t>
            </w:r>
          </w:p>
        </w:tc>
        <w:tc>
          <w:tcPr>
            <w:tcW w:w="3544" w:type="dxa"/>
          </w:tcPr>
          <w:p w:rsidR="00527104" w:rsidRPr="006F0F22" w:rsidRDefault="00527104" w:rsidP="002A79FE">
            <w:pPr>
              <w:pStyle w:val="Footer"/>
              <w:tabs>
                <w:tab w:val="clear" w:pos="4320"/>
                <w:tab w:val="clear" w:pos="8640"/>
              </w:tabs>
              <w:ind w:left="0"/>
              <w:contextualSpacing/>
              <w:jc w:val="right"/>
              <w:rPr>
                <w:b/>
                <w:sz w:val="20"/>
                <w:szCs w:val="20"/>
                <w:lang w:val="en-GB"/>
              </w:rPr>
            </w:pPr>
            <w:r w:rsidRPr="006F0F22">
              <w:rPr>
                <w:b/>
                <w:sz w:val="20"/>
                <w:szCs w:val="20"/>
                <w:lang w:val="en-GB"/>
              </w:rPr>
              <w:t>$8,600,000</w:t>
            </w:r>
          </w:p>
        </w:tc>
        <w:tc>
          <w:tcPr>
            <w:tcW w:w="2409" w:type="dxa"/>
          </w:tcPr>
          <w:p w:rsidR="00527104" w:rsidRPr="006F0F22" w:rsidRDefault="00527104" w:rsidP="002A79FE">
            <w:pPr>
              <w:pStyle w:val="Footer"/>
              <w:tabs>
                <w:tab w:val="clear" w:pos="4320"/>
                <w:tab w:val="clear" w:pos="8640"/>
              </w:tabs>
              <w:ind w:left="0"/>
              <w:contextualSpacing/>
              <w:jc w:val="right"/>
              <w:rPr>
                <w:b/>
                <w:sz w:val="20"/>
                <w:szCs w:val="20"/>
                <w:lang w:val="en-GB"/>
              </w:rPr>
            </w:pPr>
            <w:r w:rsidRPr="006F0F22">
              <w:rPr>
                <w:b/>
                <w:sz w:val="20"/>
                <w:szCs w:val="20"/>
                <w:lang w:val="en-GB"/>
              </w:rPr>
              <w:t>$890,000</w:t>
            </w:r>
          </w:p>
        </w:tc>
      </w:tr>
      <w:tr w:rsidR="00E76F9B" w:rsidRPr="006F0F22" w:rsidTr="0000186A">
        <w:tc>
          <w:tcPr>
            <w:tcW w:w="5103" w:type="dxa"/>
          </w:tcPr>
          <w:p w:rsidR="00E76F9B" w:rsidRPr="006F0F22" w:rsidRDefault="00E76F9B" w:rsidP="002A79FE">
            <w:pPr>
              <w:pStyle w:val="Footer"/>
              <w:tabs>
                <w:tab w:val="clear" w:pos="4320"/>
                <w:tab w:val="clear" w:pos="8640"/>
              </w:tabs>
              <w:ind w:left="0"/>
              <w:contextualSpacing/>
              <w:jc w:val="both"/>
              <w:rPr>
                <w:b/>
                <w:sz w:val="20"/>
                <w:szCs w:val="20"/>
                <w:lang w:val="en-GB"/>
              </w:rPr>
            </w:pPr>
            <w:r w:rsidRPr="006F0F22">
              <w:rPr>
                <w:b/>
                <w:sz w:val="20"/>
                <w:szCs w:val="20"/>
                <w:lang w:val="en-GB"/>
              </w:rPr>
              <w:t>Total</w:t>
            </w:r>
            <w:r w:rsidR="002F1599" w:rsidRPr="006F0F22">
              <w:rPr>
                <w:b/>
                <w:sz w:val="20"/>
                <w:szCs w:val="20"/>
                <w:lang w:val="en-GB"/>
              </w:rPr>
              <w:t xml:space="preserve"> Component 1</w:t>
            </w:r>
          </w:p>
        </w:tc>
        <w:tc>
          <w:tcPr>
            <w:tcW w:w="5953" w:type="dxa"/>
            <w:gridSpan w:val="2"/>
          </w:tcPr>
          <w:p w:rsidR="00E76F9B" w:rsidRPr="006F0F22" w:rsidRDefault="00E76F9B" w:rsidP="00E76F9B">
            <w:pPr>
              <w:pStyle w:val="Footer"/>
              <w:tabs>
                <w:tab w:val="clear" w:pos="4320"/>
                <w:tab w:val="clear" w:pos="8640"/>
              </w:tabs>
              <w:ind w:left="0"/>
              <w:contextualSpacing/>
              <w:jc w:val="right"/>
              <w:rPr>
                <w:b/>
                <w:sz w:val="20"/>
                <w:szCs w:val="20"/>
                <w:lang w:val="en-GB"/>
              </w:rPr>
            </w:pPr>
            <w:r w:rsidRPr="006F0F22">
              <w:rPr>
                <w:b/>
                <w:sz w:val="20"/>
                <w:szCs w:val="20"/>
                <w:lang w:val="en-GB"/>
              </w:rPr>
              <w:t>$9,490,000</w:t>
            </w:r>
          </w:p>
        </w:tc>
      </w:tr>
    </w:tbl>
    <w:p w:rsidR="00AD6459" w:rsidRPr="006F0F22" w:rsidRDefault="00AD6459" w:rsidP="00AD6459">
      <w:pPr>
        <w:pStyle w:val="Footer"/>
        <w:tabs>
          <w:tab w:val="clear" w:pos="4320"/>
          <w:tab w:val="clear" w:pos="8640"/>
        </w:tabs>
        <w:ind w:left="0"/>
        <w:contextualSpacing/>
        <w:jc w:val="both"/>
        <w:rPr>
          <w:sz w:val="22"/>
          <w:szCs w:val="22"/>
          <w:lang w:val="en-GB"/>
        </w:rPr>
      </w:pPr>
    </w:p>
    <w:p w:rsidR="0098031A" w:rsidRPr="006F0F22" w:rsidRDefault="00597F5F" w:rsidP="00A03B22">
      <w:pPr>
        <w:pStyle w:val="Footer"/>
        <w:numPr>
          <w:ilvl w:val="0"/>
          <w:numId w:val="24"/>
        </w:numPr>
        <w:tabs>
          <w:tab w:val="clear" w:pos="4320"/>
          <w:tab w:val="clear" w:pos="8640"/>
        </w:tabs>
        <w:ind w:left="0" w:firstLine="0"/>
        <w:contextualSpacing/>
        <w:jc w:val="both"/>
        <w:rPr>
          <w:sz w:val="22"/>
          <w:szCs w:val="22"/>
          <w:lang w:val="en-GB"/>
        </w:rPr>
      </w:pPr>
      <w:r w:rsidRPr="006F0F22">
        <w:rPr>
          <w:bCs/>
          <w:sz w:val="22"/>
          <w:szCs w:val="22"/>
          <w:lang w:val="en-GB"/>
        </w:rPr>
        <w:t xml:space="preserve">At an average return of 5% on the capital </w:t>
      </w:r>
      <w:r w:rsidR="009E2A3A" w:rsidRPr="006F0F22">
        <w:rPr>
          <w:bCs/>
          <w:sz w:val="22"/>
          <w:szCs w:val="22"/>
          <w:lang w:val="en-GB"/>
        </w:rPr>
        <w:t xml:space="preserve">($8,600,000) </w:t>
      </w:r>
      <w:r w:rsidRPr="006F0F22">
        <w:rPr>
          <w:bCs/>
          <w:sz w:val="22"/>
          <w:szCs w:val="22"/>
          <w:lang w:val="en-GB"/>
        </w:rPr>
        <w:t xml:space="preserve">invested, the annual financial contribution towards the management of the </w:t>
      </w:r>
      <w:r w:rsidR="00B96E33" w:rsidRPr="006F0F22">
        <w:rPr>
          <w:bCs/>
          <w:sz w:val="22"/>
          <w:szCs w:val="22"/>
          <w:lang w:val="en-GB"/>
        </w:rPr>
        <w:t>Guinea-Bissau</w:t>
      </w:r>
      <w:r w:rsidRPr="006F0F22">
        <w:rPr>
          <w:bCs/>
          <w:sz w:val="22"/>
          <w:szCs w:val="22"/>
          <w:lang w:val="en-GB"/>
        </w:rPr>
        <w:t xml:space="preserve">’s PA estate </w:t>
      </w:r>
      <w:r w:rsidR="00C26A74" w:rsidRPr="006F0F22">
        <w:rPr>
          <w:bCs/>
          <w:sz w:val="22"/>
          <w:szCs w:val="22"/>
          <w:lang w:val="en-GB"/>
        </w:rPr>
        <w:t xml:space="preserve">is estimated to be around </w:t>
      </w:r>
      <w:r w:rsidR="00480153" w:rsidRPr="006F0F22">
        <w:rPr>
          <w:bCs/>
          <w:sz w:val="22"/>
          <w:szCs w:val="22"/>
          <w:lang w:val="en-GB"/>
        </w:rPr>
        <w:t>$</w:t>
      </w:r>
      <w:r w:rsidR="004F556C" w:rsidRPr="006F0F22">
        <w:rPr>
          <w:bCs/>
          <w:sz w:val="22"/>
          <w:szCs w:val="22"/>
          <w:lang w:val="en-GB"/>
        </w:rPr>
        <w:t>4</w:t>
      </w:r>
      <w:r w:rsidR="009E2A3A" w:rsidRPr="006F0F22">
        <w:rPr>
          <w:bCs/>
          <w:sz w:val="22"/>
          <w:szCs w:val="22"/>
          <w:lang w:val="en-GB"/>
        </w:rPr>
        <w:t>3</w:t>
      </w:r>
      <w:r w:rsidR="004F556C" w:rsidRPr="006F0F22">
        <w:rPr>
          <w:bCs/>
          <w:sz w:val="22"/>
          <w:szCs w:val="22"/>
          <w:lang w:val="en-GB"/>
        </w:rPr>
        <w:t>0</w:t>
      </w:r>
      <w:r w:rsidR="004B3BF8" w:rsidRPr="006F0F22">
        <w:rPr>
          <w:bCs/>
          <w:sz w:val="22"/>
          <w:szCs w:val="22"/>
          <w:lang w:val="en-GB"/>
        </w:rPr>
        <w:t>,000</w:t>
      </w:r>
      <w:r w:rsidR="00804573" w:rsidRPr="006F0F22">
        <w:rPr>
          <w:bCs/>
          <w:sz w:val="22"/>
          <w:szCs w:val="22"/>
          <w:lang w:val="en-GB"/>
        </w:rPr>
        <w:t xml:space="preserve">. While the </w:t>
      </w:r>
      <w:r w:rsidR="00A85DE2" w:rsidRPr="006F0F22">
        <w:rPr>
          <w:bCs/>
          <w:sz w:val="22"/>
          <w:szCs w:val="22"/>
          <w:lang w:val="en-GB"/>
        </w:rPr>
        <w:t>FBG</w:t>
      </w:r>
      <w:r w:rsidR="00804573" w:rsidRPr="006F0F22">
        <w:rPr>
          <w:bCs/>
          <w:sz w:val="22"/>
          <w:szCs w:val="22"/>
          <w:lang w:val="en-GB"/>
        </w:rPr>
        <w:t xml:space="preserve"> administrative costs are covered under WB/IDA project until 2016, over the longer-term this generated revenue, after deduction of </w:t>
      </w:r>
      <w:r w:rsidR="00DE5EB5" w:rsidRPr="006F0F22">
        <w:rPr>
          <w:bCs/>
          <w:sz w:val="22"/>
          <w:szCs w:val="22"/>
          <w:lang w:val="en-GB"/>
        </w:rPr>
        <w:t xml:space="preserve">an estimated </w:t>
      </w:r>
      <w:r w:rsidR="008F4848" w:rsidRPr="006F0F22">
        <w:rPr>
          <w:bCs/>
          <w:sz w:val="22"/>
          <w:szCs w:val="22"/>
          <w:lang w:val="en-GB"/>
        </w:rPr>
        <w:t>20% for FBG administration purposes, would provide</w:t>
      </w:r>
      <w:r w:rsidR="004B3BF8" w:rsidRPr="006F0F22">
        <w:rPr>
          <w:bCs/>
          <w:sz w:val="22"/>
          <w:szCs w:val="22"/>
          <w:lang w:val="en-GB"/>
        </w:rPr>
        <w:t xml:space="preserve"> a </w:t>
      </w:r>
      <w:r w:rsidR="004F5F12" w:rsidRPr="006F0F22">
        <w:rPr>
          <w:bCs/>
          <w:sz w:val="22"/>
          <w:szCs w:val="22"/>
          <w:lang w:val="en-GB"/>
        </w:rPr>
        <w:t xml:space="preserve">sufficient initial </w:t>
      </w:r>
      <w:r w:rsidR="004B3BF8" w:rsidRPr="006F0F22">
        <w:rPr>
          <w:bCs/>
          <w:sz w:val="22"/>
          <w:szCs w:val="22"/>
          <w:lang w:val="en-GB"/>
        </w:rPr>
        <w:t xml:space="preserve">flow of stable and sustainable financing equivalent to about </w:t>
      </w:r>
      <w:r w:rsidR="004F556C" w:rsidRPr="006F0F22">
        <w:rPr>
          <w:bCs/>
          <w:sz w:val="22"/>
          <w:szCs w:val="22"/>
          <w:lang w:val="en-GB"/>
        </w:rPr>
        <w:t>30</w:t>
      </w:r>
      <w:r w:rsidR="004B3BF8" w:rsidRPr="006F0F22">
        <w:rPr>
          <w:bCs/>
          <w:sz w:val="22"/>
          <w:szCs w:val="22"/>
          <w:lang w:val="en-GB"/>
        </w:rPr>
        <w:t xml:space="preserve">% of </w:t>
      </w:r>
      <w:r w:rsidR="00190E85" w:rsidRPr="006F0F22">
        <w:rPr>
          <w:bCs/>
          <w:sz w:val="22"/>
          <w:szCs w:val="22"/>
          <w:lang w:val="en-GB"/>
        </w:rPr>
        <w:t xml:space="preserve">the </w:t>
      </w:r>
      <w:r w:rsidR="00804573" w:rsidRPr="006F0F22">
        <w:rPr>
          <w:bCs/>
          <w:sz w:val="22"/>
          <w:szCs w:val="22"/>
          <w:lang w:val="en-GB"/>
        </w:rPr>
        <w:t xml:space="preserve">overall annual </w:t>
      </w:r>
      <w:r w:rsidR="004F5F12" w:rsidRPr="006F0F22">
        <w:rPr>
          <w:bCs/>
          <w:sz w:val="22"/>
          <w:szCs w:val="22"/>
          <w:lang w:val="en-GB"/>
        </w:rPr>
        <w:t>re</w:t>
      </w:r>
      <w:r w:rsidR="004B3BF8" w:rsidRPr="006F0F22">
        <w:rPr>
          <w:bCs/>
          <w:sz w:val="22"/>
          <w:szCs w:val="22"/>
          <w:lang w:val="en-GB"/>
        </w:rPr>
        <w:t xml:space="preserve">current funding </w:t>
      </w:r>
      <w:r w:rsidR="004F5F12" w:rsidRPr="006F0F22">
        <w:rPr>
          <w:bCs/>
          <w:sz w:val="22"/>
          <w:szCs w:val="22"/>
          <w:lang w:val="en-GB"/>
        </w:rPr>
        <w:t xml:space="preserve">needs, </w:t>
      </w:r>
      <w:r w:rsidR="004B3BF8" w:rsidRPr="006F0F22">
        <w:rPr>
          <w:bCs/>
          <w:sz w:val="22"/>
          <w:szCs w:val="22"/>
          <w:lang w:val="en-GB"/>
        </w:rPr>
        <w:t xml:space="preserve">reducing vulnerability from overdependence on donor funding. </w:t>
      </w:r>
      <w:r w:rsidRPr="006F0F22">
        <w:rPr>
          <w:bCs/>
          <w:sz w:val="22"/>
          <w:szCs w:val="22"/>
          <w:lang w:val="en-GB"/>
        </w:rPr>
        <w:t xml:space="preserve">The project will also aim to leverage further </w:t>
      </w:r>
      <w:r w:rsidR="008A4887" w:rsidRPr="006F0F22">
        <w:rPr>
          <w:bCs/>
          <w:sz w:val="22"/>
          <w:szCs w:val="22"/>
          <w:lang w:val="en-GB"/>
        </w:rPr>
        <w:t>FBG</w:t>
      </w:r>
      <w:r w:rsidR="00BC05DD" w:rsidRPr="006F0F22">
        <w:rPr>
          <w:bCs/>
          <w:sz w:val="22"/>
          <w:szCs w:val="22"/>
          <w:lang w:val="en-GB"/>
        </w:rPr>
        <w:t xml:space="preserve"> income over the project’s</w:t>
      </w:r>
      <w:r w:rsidR="00F6510D" w:rsidRPr="006F0F22">
        <w:rPr>
          <w:bCs/>
          <w:sz w:val="22"/>
          <w:szCs w:val="22"/>
          <w:lang w:val="en-GB"/>
        </w:rPr>
        <w:t xml:space="preserve"> duration, keeping the long-term endowment target of </w:t>
      </w:r>
      <w:r w:rsidR="00480153" w:rsidRPr="006F0F22">
        <w:rPr>
          <w:bCs/>
          <w:sz w:val="22"/>
          <w:szCs w:val="22"/>
          <w:lang w:val="en-GB"/>
        </w:rPr>
        <w:t>$</w:t>
      </w:r>
      <w:r w:rsidR="00F6510D" w:rsidRPr="006F0F22">
        <w:rPr>
          <w:bCs/>
          <w:sz w:val="22"/>
          <w:szCs w:val="22"/>
          <w:lang w:val="en-GB"/>
        </w:rPr>
        <w:t>15 to 20 million in view</w:t>
      </w:r>
      <w:r w:rsidR="00BC05DD" w:rsidRPr="006F0F22">
        <w:rPr>
          <w:bCs/>
          <w:sz w:val="22"/>
          <w:szCs w:val="22"/>
          <w:lang w:val="en-GB"/>
        </w:rPr>
        <w:t xml:space="preserve">. </w:t>
      </w:r>
      <w:r w:rsidR="00762FE1" w:rsidRPr="006F0F22">
        <w:rPr>
          <w:bCs/>
          <w:sz w:val="22"/>
          <w:szCs w:val="22"/>
          <w:lang w:val="en-GB"/>
        </w:rPr>
        <w:t xml:space="preserve">The resulting </w:t>
      </w:r>
      <w:r w:rsidR="00190E85" w:rsidRPr="006F0F22">
        <w:rPr>
          <w:bCs/>
          <w:sz w:val="22"/>
          <w:szCs w:val="22"/>
          <w:lang w:val="en-GB"/>
        </w:rPr>
        <w:t xml:space="preserve">full </w:t>
      </w:r>
      <w:r w:rsidR="00762FE1" w:rsidRPr="006F0F22">
        <w:rPr>
          <w:bCs/>
          <w:sz w:val="22"/>
          <w:szCs w:val="22"/>
          <w:lang w:val="en-GB"/>
        </w:rPr>
        <w:t xml:space="preserve">operationalisation of the </w:t>
      </w:r>
      <w:r w:rsidR="008A4887" w:rsidRPr="006F0F22">
        <w:rPr>
          <w:bCs/>
          <w:sz w:val="22"/>
          <w:szCs w:val="22"/>
          <w:lang w:val="en-GB"/>
        </w:rPr>
        <w:t>FBG</w:t>
      </w:r>
      <w:r w:rsidR="00B474D3" w:rsidRPr="006F0F22">
        <w:rPr>
          <w:bCs/>
          <w:sz w:val="22"/>
          <w:szCs w:val="22"/>
          <w:lang w:val="en-GB"/>
        </w:rPr>
        <w:t xml:space="preserve"> </w:t>
      </w:r>
      <w:r w:rsidR="004F5F12" w:rsidRPr="006F0F22">
        <w:rPr>
          <w:bCs/>
          <w:sz w:val="22"/>
          <w:szCs w:val="22"/>
          <w:lang w:val="en-GB"/>
        </w:rPr>
        <w:t xml:space="preserve">will </w:t>
      </w:r>
      <w:r w:rsidR="00762FE1" w:rsidRPr="006F0F22">
        <w:rPr>
          <w:bCs/>
          <w:sz w:val="22"/>
          <w:szCs w:val="22"/>
          <w:lang w:val="en-GB"/>
        </w:rPr>
        <w:t>be a significant milestone for biodiversity conservation and PA management in Guinea</w:t>
      </w:r>
      <w:r w:rsidR="0082120C" w:rsidRPr="006F0F22">
        <w:rPr>
          <w:bCs/>
          <w:sz w:val="22"/>
          <w:szCs w:val="22"/>
          <w:lang w:val="en-GB"/>
        </w:rPr>
        <w:t>-</w:t>
      </w:r>
      <w:r w:rsidR="00762FE1" w:rsidRPr="006F0F22">
        <w:rPr>
          <w:bCs/>
          <w:sz w:val="22"/>
          <w:szCs w:val="22"/>
          <w:lang w:val="en-GB"/>
        </w:rPr>
        <w:t>Bissau, while representing a model for the rest of the sub-region of what long</w:t>
      </w:r>
      <w:r w:rsidR="0082120C" w:rsidRPr="006F0F22">
        <w:rPr>
          <w:bCs/>
          <w:sz w:val="22"/>
          <w:szCs w:val="22"/>
          <w:lang w:val="en-GB"/>
        </w:rPr>
        <w:t>-</w:t>
      </w:r>
      <w:r w:rsidR="00762FE1" w:rsidRPr="006F0F22">
        <w:rPr>
          <w:bCs/>
          <w:sz w:val="22"/>
          <w:szCs w:val="22"/>
          <w:lang w:val="en-GB"/>
        </w:rPr>
        <w:t xml:space="preserve">term and internationally collaborative efforts can achieve. In close coordination with other partners, activities under this component of the project would ensure that asset management is optimized in compliance with GEF best practices for trust funds. Investment guidelines will be developed to reflect a conservative risk strategy, the balanced diversification of </w:t>
      </w:r>
      <w:r w:rsidR="008A4887" w:rsidRPr="006F0F22">
        <w:rPr>
          <w:bCs/>
          <w:sz w:val="22"/>
          <w:szCs w:val="22"/>
          <w:lang w:val="en-GB"/>
        </w:rPr>
        <w:t>FBG</w:t>
      </w:r>
      <w:r w:rsidR="00762FE1" w:rsidRPr="006F0F22">
        <w:rPr>
          <w:bCs/>
          <w:sz w:val="22"/>
          <w:szCs w:val="22"/>
          <w:lang w:val="en-GB"/>
        </w:rPr>
        <w:t>’s investment portfolio, the competitive selection of professional asset managers and the regular oversight of investment performance in relation to standard benchmarks</w:t>
      </w:r>
      <w:r w:rsidR="00CD6BE0" w:rsidRPr="006F0F22">
        <w:rPr>
          <w:bCs/>
          <w:sz w:val="22"/>
          <w:szCs w:val="22"/>
          <w:lang w:val="en-GB"/>
        </w:rPr>
        <w:t xml:space="preserve">; the investment guidelines will equally provide clear instructions and rules on the type of investment that the endowment fund will make, ensuring </w:t>
      </w:r>
      <w:r w:rsidR="009409DE" w:rsidRPr="006F0F22">
        <w:rPr>
          <w:bCs/>
          <w:sz w:val="22"/>
          <w:szCs w:val="22"/>
          <w:lang w:val="en-GB"/>
        </w:rPr>
        <w:t xml:space="preserve">these are </w:t>
      </w:r>
      <w:r w:rsidR="00CD6BE0" w:rsidRPr="006F0F22">
        <w:rPr>
          <w:bCs/>
          <w:sz w:val="22"/>
          <w:szCs w:val="22"/>
          <w:lang w:val="en-GB"/>
        </w:rPr>
        <w:t>social</w:t>
      </w:r>
      <w:r w:rsidR="009409DE" w:rsidRPr="006F0F22">
        <w:rPr>
          <w:bCs/>
          <w:sz w:val="22"/>
          <w:szCs w:val="22"/>
          <w:lang w:val="en-GB"/>
        </w:rPr>
        <w:t>ly</w:t>
      </w:r>
      <w:r w:rsidR="00CD6BE0" w:rsidRPr="006F0F22">
        <w:rPr>
          <w:bCs/>
          <w:sz w:val="22"/>
          <w:szCs w:val="22"/>
          <w:lang w:val="en-GB"/>
        </w:rPr>
        <w:t xml:space="preserve"> and environmental</w:t>
      </w:r>
      <w:r w:rsidR="009409DE" w:rsidRPr="006F0F22">
        <w:rPr>
          <w:bCs/>
          <w:sz w:val="22"/>
          <w:szCs w:val="22"/>
          <w:lang w:val="en-GB"/>
        </w:rPr>
        <w:t>ly responsible</w:t>
      </w:r>
      <w:r w:rsidR="00762FE1" w:rsidRPr="006F0F22">
        <w:rPr>
          <w:bCs/>
          <w:sz w:val="22"/>
          <w:szCs w:val="22"/>
          <w:lang w:val="en-GB"/>
        </w:rPr>
        <w:t xml:space="preserve">. Transparent and internationally recognized auditing and reporting protocols will be implemented to monitor and evaluate </w:t>
      </w:r>
      <w:r w:rsidR="008A4887" w:rsidRPr="006F0F22">
        <w:rPr>
          <w:bCs/>
          <w:sz w:val="22"/>
          <w:szCs w:val="22"/>
          <w:lang w:val="en-GB"/>
        </w:rPr>
        <w:t>FBG</w:t>
      </w:r>
      <w:r w:rsidR="00762FE1" w:rsidRPr="006F0F22">
        <w:rPr>
          <w:bCs/>
          <w:sz w:val="22"/>
          <w:szCs w:val="22"/>
          <w:lang w:val="en-GB"/>
        </w:rPr>
        <w:t>’s achievements against time-bound targets and the effectiveness, efficiency and impact in the use of endowment, sinking and revolving funds at its disposal.</w:t>
      </w:r>
      <w:r w:rsidR="004B3BF8" w:rsidRPr="006F0F22">
        <w:rPr>
          <w:bCs/>
          <w:sz w:val="22"/>
          <w:szCs w:val="22"/>
          <w:lang w:val="en-GB"/>
        </w:rPr>
        <w:t xml:space="preserve"> </w:t>
      </w:r>
      <w:r w:rsidR="009B3C44" w:rsidRPr="006F0F22">
        <w:rPr>
          <w:bCs/>
          <w:sz w:val="22"/>
          <w:szCs w:val="22"/>
          <w:lang w:val="en-GB"/>
        </w:rPr>
        <w:t xml:space="preserve">On this basis, </w:t>
      </w:r>
      <w:r w:rsidR="004B3BF8" w:rsidRPr="006F0F22">
        <w:rPr>
          <w:bCs/>
          <w:sz w:val="22"/>
          <w:szCs w:val="22"/>
          <w:lang w:val="en-GB"/>
        </w:rPr>
        <w:t xml:space="preserve">the project will play an active role in briefing and providing information to </w:t>
      </w:r>
      <w:r w:rsidR="004B3BF8" w:rsidRPr="006F0F22">
        <w:rPr>
          <w:sz w:val="22"/>
          <w:szCs w:val="22"/>
          <w:lang w:val="en-GB"/>
        </w:rPr>
        <w:t>annual donor meetings on progress a</w:t>
      </w:r>
      <w:r w:rsidR="008872C9" w:rsidRPr="006F0F22">
        <w:rPr>
          <w:sz w:val="22"/>
          <w:szCs w:val="22"/>
          <w:lang w:val="en-GB"/>
        </w:rPr>
        <w:t xml:space="preserve">nd operational efficiencies of </w:t>
      </w:r>
      <w:r w:rsidR="004B3BF8" w:rsidRPr="006F0F22">
        <w:rPr>
          <w:sz w:val="22"/>
          <w:szCs w:val="22"/>
          <w:lang w:val="en-GB"/>
        </w:rPr>
        <w:t xml:space="preserve">the </w:t>
      </w:r>
      <w:r w:rsidR="008A4887" w:rsidRPr="006F0F22">
        <w:rPr>
          <w:sz w:val="22"/>
          <w:szCs w:val="22"/>
          <w:lang w:val="en-GB"/>
        </w:rPr>
        <w:t>FBG</w:t>
      </w:r>
      <w:r w:rsidR="004B3BF8" w:rsidRPr="006F0F22">
        <w:rPr>
          <w:sz w:val="22"/>
          <w:szCs w:val="22"/>
          <w:lang w:val="en-GB"/>
        </w:rPr>
        <w:t xml:space="preserve"> and on the needs and opportunities for </w:t>
      </w:r>
      <w:r w:rsidR="009B3C44" w:rsidRPr="006F0F22">
        <w:rPr>
          <w:sz w:val="22"/>
          <w:szCs w:val="22"/>
          <w:lang w:val="en-GB"/>
        </w:rPr>
        <w:t xml:space="preserve">further </w:t>
      </w:r>
      <w:r w:rsidR="004B3BF8" w:rsidRPr="006F0F22">
        <w:rPr>
          <w:sz w:val="22"/>
          <w:szCs w:val="22"/>
          <w:lang w:val="en-GB"/>
        </w:rPr>
        <w:t>aid programmes</w:t>
      </w:r>
      <w:r w:rsidR="009B3C44" w:rsidRPr="006F0F22">
        <w:rPr>
          <w:sz w:val="22"/>
          <w:szCs w:val="22"/>
          <w:lang w:val="en-GB"/>
        </w:rPr>
        <w:t xml:space="preserve">. This will be coupled with </w:t>
      </w:r>
      <w:r w:rsidR="004B3BF8" w:rsidRPr="006F0F22">
        <w:rPr>
          <w:sz w:val="22"/>
          <w:szCs w:val="22"/>
          <w:lang w:val="en-GB"/>
        </w:rPr>
        <w:t xml:space="preserve">targeted assessments of </w:t>
      </w:r>
      <w:r w:rsidR="009B3C44" w:rsidRPr="006F0F22">
        <w:rPr>
          <w:sz w:val="22"/>
          <w:szCs w:val="22"/>
          <w:lang w:val="en-GB"/>
        </w:rPr>
        <w:t xml:space="preserve">alternative </w:t>
      </w:r>
      <w:r w:rsidR="004B3BF8" w:rsidRPr="006F0F22">
        <w:rPr>
          <w:sz w:val="22"/>
          <w:szCs w:val="22"/>
          <w:lang w:val="en-GB"/>
        </w:rPr>
        <w:t xml:space="preserve">revenue generation mechanism’s </w:t>
      </w:r>
      <w:r w:rsidR="009B3C44" w:rsidRPr="006F0F22">
        <w:rPr>
          <w:sz w:val="22"/>
          <w:szCs w:val="22"/>
          <w:lang w:val="en-GB"/>
        </w:rPr>
        <w:t xml:space="preserve">for Guinea-Bissau’s PA system </w:t>
      </w:r>
      <w:r w:rsidR="004B3BF8" w:rsidRPr="006F0F22">
        <w:rPr>
          <w:sz w:val="22"/>
          <w:szCs w:val="22"/>
          <w:lang w:val="en-GB"/>
        </w:rPr>
        <w:t xml:space="preserve">including </w:t>
      </w:r>
      <w:r w:rsidR="001428B1" w:rsidRPr="006F0F22">
        <w:rPr>
          <w:sz w:val="22"/>
          <w:szCs w:val="22"/>
          <w:lang w:val="en-GB"/>
        </w:rPr>
        <w:t xml:space="preserve">further work on REDD revenues and </w:t>
      </w:r>
      <w:r w:rsidR="004B3BF8" w:rsidRPr="006F0F22">
        <w:rPr>
          <w:sz w:val="22"/>
          <w:szCs w:val="22"/>
          <w:lang w:val="en-GB"/>
        </w:rPr>
        <w:t xml:space="preserve">compensation schemes </w:t>
      </w:r>
      <w:r w:rsidR="009B3C44" w:rsidRPr="006F0F22">
        <w:rPr>
          <w:sz w:val="22"/>
          <w:szCs w:val="22"/>
          <w:lang w:val="en-GB"/>
        </w:rPr>
        <w:t>such as</w:t>
      </w:r>
      <w:r w:rsidR="004B3BF8" w:rsidRPr="006F0F22">
        <w:rPr>
          <w:sz w:val="22"/>
          <w:szCs w:val="22"/>
          <w:lang w:val="en-GB"/>
        </w:rPr>
        <w:t xml:space="preserve"> mining and timber concessions,</w:t>
      </w:r>
      <w:r w:rsidR="009B3C44" w:rsidRPr="006F0F22">
        <w:rPr>
          <w:sz w:val="22"/>
          <w:szCs w:val="22"/>
          <w:lang w:val="en-GB"/>
        </w:rPr>
        <w:t xml:space="preserve"> fines,</w:t>
      </w:r>
      <w:r w:rsidR="004B3BF8" w:rsidRPr="006F0F22">
        <w:rPr>
          <w:sz w:val="22"/>
          <w:szCs w:val="22"/>
          <w:lang w:val="en-GB"/>
        </w:rPr>
        <w:t xml:space="preserve"> tourism fees</w:t>
      </w:r>
      <w:r w:rsidR="009B3C44" w:rsidRPr="006F0F22">
        <w:rPr>
          <w:sz w:val="22"/>
          <w:szCs w:val="22"/>
          <w:lang w:val="en-GB"/>
        </w:rPr>
        <w:t xml:space="preserve">, etc. </w:t>
      </w:r>
    </w:p>
    <w:p w:rsidR="00C33C8E" w:rsidRPr="006F0F22" w:rsidRDefault="00C33C8E" w:rsidP="00C33C8E">
      <w:pPr>
        <w:ind w:left="0"/>
        <w:rPr>
          <w:bCs/>
          <w:sz w:val="22"/>
          <w:szCs w:val="22"/>
          <w:lang w:val="en-GB"/>
        </w:rPr>
      </w:pPr>
    </w:p>
    <w:p w:rsidR="00AF4104" w:rsidRPr="006F0F22" w:rsidRDefault="00C27F11" w:rsidP="00C33C8E">
      <w:pPr>
        <w:pStyle w:val="Footer"/>
        <w:numPr>
          <w:ilvl w:val="0"/>
          <w:numId w:val="24"/>
        </w:numPr>
        <w:tabs>
          <w:tab w:val="clear" w:pos="4320"/>
          <w:tab w:val="clear" w:pos="8640"/>
        </w:tabs>
        <w:ind w:left="0" w:firstLine="0"/>
        <w:contextualSpacing/>
        <w:jc w:val="both"/>
        <w:rPr>
          <w:bCs/>
          <w:sz w:val="22"/>
          <w:szCs w:val="22"/>
          <w:lang w:val="en-GB"/>
        </w:rPr>
      </w:pPr>
      <w:r w:rsidRPr="006F0F22">
        <w:rPr>
          <w:sz w:val="22"/>
          <w:szCs w:val="22"/>
          <w:lang w:val="en-GB"/>
        </w:rPr>
        <w:t xml:space="preserve">The allocation of resources generated by the FBG endowment will be governed by the FBG Board and guided by Guinea-Bissau’s national PA strategy. </w:t>
      </w:r>
      <w:r w:rsidR="00876691" w:rsidRPr="006F0F22">
        <w:rPr>
          <w:bCs/>
          <w:sz w:val="22"/>
          <w:szCs w:val="22"/>
          <w:lang w:val="en-GB"/>
        </w:rPr>
        <w:t>D</w:t>
      </w:r>
      <w:r w:rsidR="00A36A1A" w:rsidRPr="006F0F22">
        <w:rPr>
          <w:bCs/>
          <w:sz w:val="22"/>
          <w:szCs w:val="22"/>
          <w:lang w:val="en-GB"/>
        </w:rPr>
        <w:t>etailed analys</w:t>
      </w:r>
      <w:r w:rsidR="00876691" w:rsidRPr="006F0F22">
        <w:rPr>
          <w:bCs/>
          <w:sz w:val="22"/>
          <w:szCs w:val="22"/>
          <w:lang w:val="en-GB"/>
        </w:rPr>
        <w:t>e</w:t>
      </w:r>
      <w:r w:rsidR="00A36A1A" w:rsidRPr="006F0F22">
        <w:rPr>
          <w:bCs/>
          <w:sz w:val="22"/>
          <w:szCs w:val="22"/>
          <w:lang w:val="en-GB"/>
        </w:rPr>
        <w:t xml:space="preserve">s </w:t>
      </w:r>
      <w:r w:rsidR="0000508D" w:rsidRPr="006F0F22">
        <w:rPr>
          <w:bCs/>
          <w:sz w:val="22"/>
          <w:szCs w:val="22"/>
          <w:lang w:val="en-GB"/>
        </w:rPr>
        <w:t xml:space="preserve">will be undertaken </w:t>
      </w:r>
      <w:r w:rsidR="00A36A1A" w:rsidRPr="006F0F22">
        <w:rPr>
          <w:bCs/>
          <w:sz w:val="22"/>
          <w:szCs w:val="22"/>
          <w:lang w:val="en-GB"/>
        </w:rPr>
        <w:t>of the predictability and sufficiency of revenue sources, and of the cost-effectiveness and efficiency in the use of available funding. This will be based on the assessment of capacity in the different PAs of the national network</w:t>
      </w:r>
      <w:r w:rsidR="008B0DDF" w:rsidRPr="006F0F22">
        <w:rPr>
          <w:bCs/>
          <w:sz w:val="22"/>
          <w:szCs w:val="22"/>
          <w:lang w:val="en-GB"/>
        </w:rPr>
        <w:t xml:space="preserve"> </w:t>
      </w:r>
      <w:r w:rsidR="00A36A1A" w:rsidRPr="006F0F22">
        <w:rPr>
          <w:bCs/>
          <w:sz w:val="22"/>
          <w:szCs w:val="22"/>
          <w:lang w:val="en-GB"/>
        </w:rPr>
        <w:t>and the careful consolidation of site-specific data sets.</w:t>
      </w:r>
      <w:r w:rsidR="008B0DDF" w:rsidRPr="006F0F22">
        <w:rPr>
          <w:bCs/>
          <w:sz w:val="22"/>
          <w:szCs w:val="22"/>
          <w:lang w:val="en-GB"/>
        </w:rPr>
        <w:t xml:space="preserve"> </w:t>
      </w:r>
      <w:r w:rsidR="00762FE1" w:rsidRPr="006F0F22">
        <w:rPr>
          <w:sz w:val="22"/>
          <w:szCs w:val="22"/>
          <w:lang w:val="en-GB"/>
        </w:rPr>
        <w:t xml:space="preserve">Lessons learned from these experiences will </w:t>
      </w:r>
      <w:r w:rsidR="00762FE1" w:rsidRPr="006F0F22">
        <w:rPr>
          <w:bCs/>
          <w:sz w:val="22"/>
          <w:szCs w:val="22"/>
          <w:lang w:val="en-GB"/>
        </w:rPr>
        <w:t xml:space="preserve">assist in defining management and budgetary requirements for </w:t>
      </w:r>
      <w:r w:rsidR="007448AF" w:rsidRPr="006F0F22">
        <w:rPr>
          <w:bCs/>
          <w:sz w:val="22"/>
          <w:szCs w:val="22"/>
          <w:lang w:val="en-GB"/>
        </w:rPr>
        <w:t xml:space="preserve">individual </w:t>
      </w:r>
      <w:r w:rsidR="00762FE1" w:rsidRPr="006F0F22">
        <w:rPr>
          <w:bCs/>
          <w:sz w:val="22"/>
          <w:szCs w:val="22"/>
          <w:lang w:val="en-GB"/>
        </w:rPr>
        <w:t>PAs</w:t>
      </w:r>
      <w:r w:rsidR="007448AF" w:rsidRPr="006F0F22">
        <w:rPr>
          <w:bCs/>
          <w:sz w:val="22"/>
          <w:szCs w:val="22"/>
          <w:lang w:val="en-GB"/>
        </w:rPr>
        <w:t xml:space="preserve"> in the national PA network</w:t>
      </w:r>
      <w:r w:rsidR="00762FE1" w:rsidRPr="006F0F22">
        <w:rPr>
          <w:bCs/>
          <w:sz w:val="22"/>
          <w:szCs w:val="22"/>
          <w:lang w:val="en-GB"/>
        </w:rPr>
        <w:t xml:space="preserve">. With support from the project, IBAP and the </w:t>
      </w:r>
      <w:r w:rsidR="008A4887" w:rsidRPr="006F0F22">
        <w:rPr>
          <w:bCs/>
          <w:sz w:val="22"/>
          <w:szCs w:val="22"/>
          <w:lang w:val="en-GB"/>
        </w:rPr>
        <w:t>FBG</w:t>
      </w:r>
      <w:r w:rsidR="00762FE1" w:rsidRPr="006F0F22">
        <w:rPr>
          <w:bCs/>
          <w:sz w:val="22"/>
          <w:szCs w:val="22"/>
          <w:lang w:val="en-GB"/>
        </w:rPr>
        <w:t xml:space="preserve"> will quantify their intended impacts on biodiversity conservation and sustainable use, develop performance indicators and simple M&amp;E systems to measure progress and channel feedback into program</w:t>
      </w:r>
      <w:r w:rsidR="007448AF" w:rsidRPr="006F0F22">
        <w:rPr>
          <w:bCs/>
          <w:sz w:val="22"/>
          <w:szCs w:val="22"/>
          <w:lang w:val="en-GB"/>
        </w:rPr>
        <w:t>me</w:t>
      </w:r>
      <w:r w:rsidR="00762FE1" w:rsidRPr="006F0F22">
        <w:rPr>
          <w:bCs/>
          <w:sz w:val="22"/>
          <w:szCs w:val="22"/>
          <w:lang w:val="en-GB"/>
        </w:rPr>
        <w:t xml:space="preserve"> improvements and management decisions.</w:t>
      </w:r>
    </w:p>
    <w:p w:rsidR="00C33C8E" w:rsidRPr="006F0F22" w:rsidRDefault="00C33C8E" w:rsidP="00C33C8E">
      <w:pPr>
        <w:pStyle w:val="Footer"/>
        <w:tabs>
          <w:tab w:val="clear" w:pos="4320"/>
          <w:tab w:val="clear" w:pos="8640"/>
        </w:tabs>
        <w:ind w:left="0"/>
        <w:contextualSpacing/>
        <w:jc w:val="both"/>
        <w:rPr>
          <w:bCs/>
          <w:sz w:val="22"/>
          <w:szCs w:val="22"/>
          <w:lang w:val="en-GB"/>
        </w:rPr>
      </w:pPr>
    </w:p>
    <w:p w:rsidR="009A3366" w:rsidRPr="006F0F22" w:rsidRDefault="009A3366" w:rsidP="009A3366">
      <w:pPr>
        <w:ind w:left="0"/>
        <w:rPr>
          <w:bCs/>
          <w:i/>
          <w:sz w:val="22"/>
          <w:szCs w:val="22"/>
          <w:lang w:val="en-GB"/>
        </w:rPr>
      </w:pPr>
    </w:p>
    <w:p w:rsidR="009A3366" w:rsidRPr="006F0F22" w:rsidRDefault="009A3366" w:rsidP="009A3366">
      <w:pPr>
        <w:ind w:left="0"/>
        <w:rPr>
          <w:bCs/>
          <w:i/>
          <w:sz w:val="22"/>
          <w:szCs w:val="22"/>
          <w:lang w:val="en-GB"/>
        </w:rPr>
      </w:pPr>
    </w:p>
    <w:p w:rsidR="00301F6F" w:rsidRPr="006F0F22" w:rsidRDefault="006E2C00" w:rsidP="009A3366">
      <w:pPr>
        <w:ind w:left="0"/>
        <w:rPr>
          <w:bCs/>
          <w:i/>
          <w:sz w:val="22"/>
          <w:szCs w:val="22"/>
          <w:lang w:val="en-GB"/>
        </w:rPr>
      </w:pPr>
      <w:r w:rsidRPr="006F0F22">
        <w:rPr>
          <w:bCs/>
          <w:i/>
          <w:sz w:val="22"/>
          <w:szCs w:val="22"/>
          <w:lang w:val="en-GB"/>
        </w:rPr>
        <w:lastRenderedPageBreak/>
        <w:t>C</w:t>
      </w:r>
      <w:r w:rsidR="00207AB4" w:rsidRPr="006F0F22">
        <w:rPr>
          <w:b/>
          <w:i/>
          <w:sz w:val="22"/>
          <w:szCs w:val="22"/>
          <w:lang w:val="en-GB"/>
        </w:rPr>
        <w:t>omponent 2</w:t>
      </w:r>
      <w:r w:rsidR="00CA0637" w:rsidRPr="006F0F22">
        <w:rPr>
          <w:b/>
          <w:i/>
          <w:sz w:val="22"/>
          <w:szCs w:val="22"/>
          <w:lang w:val="en-GB"/>
        </w:rPr>
        <w:t>:</w:t>
      </w:r>
      <w:r w:rsidR="0076673C" w:rsidRPr="006F0F22">
        <w:rPr>
          <w:b/>
          <w:i/>
          <w:sz w:val="22"/>
          <w:szCs w:val="22"/>
          <w:lang w:val="en-GB"/>
        </w:rPr>
        <w:t xml:space="preserve"> </w:t>
      </w:r>
      <w:r w:rsidR="00301F6F" w:rsidRPr="006F0F22">
        <w:rPr>
          <w:b/>
          <w:i/>
          <w:sz w:val="22"/>
          <w:szCs w:val="22"/>
          <w:lang w:val="en-GB"/>
        </w:rPr>
        <w:t xml:space="preserve">PA and buffer zone management in Cantanhez </w:t>
      </w:r>
      <w:r w:rsidR="004711E1" w:rsidRPr="006F0F22">
        <w:rPr>
          <w:b/>
          <w:i/>
          <w:sz w:val="22"/>
          <w:szCs w:val="22"/>
          <w:lang w:val="en-GB"/>
        </w:rPr>
        <w:t>NP</w:t>
      </w:r>
    </w:p>
    <w:p w:rsidR="00F515AA" w:rsidRPr="006F0F22" w:rsidRDefault="00F515AA" w:rsidP="00A03B22">
      <w:pPr>
        <w:ind w:left="0"/>
        <w:rPr>
          <w:b/>
          <w:i/>
          <w:sz w:val="22"/>
          <w:szCs w:val="22"/>
          <w:lang w:val="en-GB"/>
        </w:rPr>
      </w:pPr>
    </w:p>
    <w:p w:rsidR="0098031A" w:rsidRPr="006F0F22" w:rsidRDefault="0098031A" w:rsidP="00A03B22">
      <w:pPr>
        <w:pStyle w:val="Footer"/>
        <w:numPr>
          <w:ilvl w:val="0"/>
          <w:numId w:val="24"/>
        </w:numPr>
        <w:tabs>
          <w:tab w:val="clear" w:pos="4320"/>
          <w:tab w:val="clear" w:pos="8640"/>
        </w:tabs>
        <w:ind w:left="0" w:firstLine="0"/>
        <w:contextualSpacing/>
        <w:jc w:val="both"/>
        <w:rPr>
          <w:sz w:val="22"/>
          <w:szCs w:val="22"/>
          <w:lang w:val="en-GB"/>
        </w:rPr>
      </w:pPr>
      <w:r w:rsidRPr="006F0F22">
        <w:rPr>
          <w:sz w:val="22"/>
          <w:szCs w:val="22"/>
          <w:lang w:val="en-GB"/>
        </w:rPr>
        <w:t xml:space="preserve">This component will provide basic management effectiveness to Cantanhez NP, thereby closing the topmost priority gap in the overall national PA system of Guinea Bissau. In doing so it will further improve the representativeness, connectivity and management capacity of the terrestrial portion of the Guinea-Bissau PA system. This will involve the piloting in the NP of a shared vision and training programmes between IBAP and DGFF, spearheading the alignment of policy objectives and the creation of a functional collaborative framework. Improved coordination between the two institutions will also be critically important </w:t>
      </w:r>
      <w:r w:rsidR="00B91B1D" w:rsidRPr="006F0F22">
        <w:rPr>
          <w:sz w:val="22"/>
          <w:szCs w:val="22"/>
          <w:lang w:val="en-GB"/>
        </w:rPr>
        <w:t xml:space="preserve">to </w:t>
      </w:r>
      <w:r w:rsidR="00FE709B" w:rsidRPr="006F0F22">
        <w:rPr>
          <w:sz w:val="22"/>
          <w:szCs w:val="22"/>
          <w:lang w:val="en-GB"/>
        </w:rPr>
        <w:t>catalyse</w:t>
      </w:r>
      <w:r w:rsidRPr="006F0F22">
        <w:rPr>
          <w:sz w:val="22"/>
          <w:szCs w:val="22"/>
          <w:lang w:val="en-GB"/>
        </w:rPr>
        <w:t xml:space="preserve"> the engagement of local communities and other key stakeholders in the management of biodiversity and ecosystem services in PA buffer zones and </w:t>
      </w:r>
      <w:r w:rsidR="00B91B1D" w:rsidRPr="006F0F22">
        <w:rPr>
          <w:sz w:val="22"/>
          <w:szCs w:val="22"/>
          <w:lang w:val="en-GB"/>
        </w:rPr>
        <w:t>adjacent areas</w:t>
      </w:r>
      <w:r w:rsidR="00FE709B" w:rsidRPr="006F0F22">
        <w:rPr>
          <w:sz w:val="22"/>
          <w:szCs w:val="22"/>
          <w:lang w:val="en-GB"/>
        </w:rPr>
        <w:t xml:space="preserve">, with the aim to reduce the pressures exerted by resource users on the </w:t>
      </w:r>
      <w:r w:rsidR="00B91B1D" w:rsidRPr="006F0F22">
        <w:rPr>
          <w:sz w:val="22"/>
          <w:szCs w:val="22"/>
          <w:lang w:val="en-GB"/>
        </w:rPr>
        <w:t>PA</w:t>
      </w:r>
      <w:r w:rsidR="00FE709B" w:rsidRPr="006F0F22">
        <w:rPr>
          <w:sz w:val="22"/>
          <w:szCs w:val="22"/>
          <w:lang w:val="en-GB"/>
        </w:rPr>
        <w:t xml:space="preserve"> and thereby rendering PA management more cost-effective</w:t>
      </w:r>
      <w:r w:rsidRPr="006F0F22">
        <w:rPr>
          <w:sz w:val="20"/>
          <w:szCs w:val="20"/>
          <w:lang w:val="en-GB"/>
        </w:rPr>
        <w:t xml:space="preserve">. </w:t>
      </w:r>
      <w:r w:rsidRPr="006F0F22">
        <w:rPr>
          <w:sz w:val="22"/>
          <w:szCs w:val="22"/>
          <w:lang w:val="en-GB"/>
        </w:rPr>
        <w:t>While addressing the main barriers identified, this component will focus on several related and parallel activity streams:</w:t>
      </w:r>
    </w:p>
    <w:p w:rsidR="0098031A" w:rsidRPr="006F0F22" w:rsidRDefault="0098031A" w:rsidP="0098031A">
      <w:pPr>
        <w:pStyle w:val="Footer"/>
        <w:tabs>
          <w:tab w:val="clear" w:pos="4320"/>
          <w:tab w:val="clear" w:pos="8640"/>
        </w:tabs>
        <w:ind w:left="0"/>
        <w:contextualSpacing/>
        <w:jc w:val="both"/>
        <w:rPr>
          <w:sz w:val="22"/>
          <w:szCs w:val="22"/>
          <w:lang w:val="en-GB"/>
        </w:rPr>
      </w:pPr>
    </w:p>
    <w:p w:rsidR="0098031A" w:rsidRPr="006F0F22" w:rsidRDefault="00732968" w:rsidP="00EB08FB">
      <w:pPr>
        <w:pStyle w:val="Footer"/>
        <w:numPr>
          <w:ilvl w:val="0"/>
          <w:numId w:val="24"/>
        </w:numPr>
        <w:tabs>
          <w:tab w:val="clear" w:pos="4320"/>
          <w:tab w:val="clear" w:pos="8640"/>
        </w:tabs>
        <w:ind w:left="0" w:firstLine="0"/>
        <w:contextualSpacing/>
        <w:jc w:val="both"/>
        <w:rPr>
          <w:sz w:val="22"/>
          <w:szCs w:val="22"/>
          <w:lang w:val="en-GB"/>
        </w:rPr>
      </w:pPr>
      <w:r w:rsidRPr="006F0F22">
        <w:rPr>
          <w:sz w:val="22"/>
          <w:szCs w:val="22"/>
          <w:u w:val="single"/>
          <w:lang w:val="en-GB"/>
        </w:rPr>
        <w:t>Cantanhez NP</w:t>
      </w:r>
      <w:r w:rsidRPr="006F0F22">
        <w:rPr>
          <w:sz w:val="22"/>
          <w:szCs w:val="22"/>
          <w:lang w:val="en-GB"/>
        </w:rPr>
        <w:t xml:space="preserve"> </w:t>
      </w:r>
      <w:r w:rsidR="00050D62" w:rsidRPr="006F0F22">
        <w:rPr>
          <w:sz w:val="22"/>
          <w:szCs w:val="22"/>
          <w:lang w:val="en-GB"/>
        </w:rPr>
        <w:t>(106,000</w:t>
      </w:r>
      <w:r w:rsidR="005B48F3" w:rsidRPr="006F0F22">
        <w:rPr>
          <w:sz w:val="22"/>
          <w:szCs w:val="22"/>
          <w:lang w:val="en-GB"/>
        </w:rPr>
        <w:t xml:space="preserve"> ha)</w:t>
      </w:r>
      <w:r w:rsidR="004D7051" w:rsidRPr="006F0F22">
        <w:rPr>
          <w:sz w:val="22"/>
          <w:szCs w:val="22"/>
          <w:lang w:val="en-GB"/>
        </w:rPr>
        <w:t xml:space="preserve"> </w:t>
      </w:r>
      <w:r w:rsidR="006E2B6B" w:rsidRPr="006F0F22">
        <w:rPr>
          <w:sz w:val="22"/>
          <w:szCs w:val="22"/>
          <w:lang w:val="en-GB"/>
        </w:rPr>
        <w:t>including its</w:t>
      </w:r>
      <w:r w:rsidR="00286438" w:rsidRPr="006F0F22">
        <w:rPr>
          <w:sz w:val="22"/>
          <w:szCs w:val="22"/>
          <w:lang w:val="en-GB"/>
        </w:rPr>
        <w:t xml:space="preserve"> vital buffer zones (44,713 ha)</w:t>
      </w:r>
      <w:r w:rsidR="004D7051" w:rsidRPr="006F0F22">
        <w:rPr>
          <w:sz w:val="22"/>
          <w:szCs w:val="22"/>
          <w:lang w:val="en-GB"/>
        </w:rPr>
        <w:t xml:space="preserve"> </w:t>
      </w:r>
      <w:r w:rsidR="00D2781A" w:rsidRPr="006F0F22">
        <w:rPr>
          <w:sz w:val="22"/>
          <w:szCs w:val="22"/>
          <w:u w:val="single"/>
          <w:lang w:val="en-GB"/>
        </w:rPr>
        <w:t>will be made operational</w:t>
      </w:r>
      <w:r w:rsidR="005B48F3" w:rsidRPr="006F0F22">
        <w:rPr>
          <w:sz w:val="22"/>
          <w:szCs w:val="22"/>
          <w:u w:val="single"/>
          <w:lang w:val="en-GB"/>
        </w:rPr>
        <w:t xml:space="preserve"> and </w:t>
      </w:r>
      <w:r w:rsidRPr="006F0F22">
        <w:rPr>
          <w:sz w:val="22"/>
          <w:szCs w:val="22"/>
          <w:u w:val="single"/>
          <w:lang w:val="en-GB"/>
        </w:rPr>
        <w:t>reinforced</w:t>
      </w:r>
      <w:r w:rsidR="00A33247" w:rsidRPr="006F0F22">
        <w:rPr>
          <w:sz w:val="22"/>
          <w:szCs w:val="22"/>
          <w:lang w:val="en-GB"/>
        </w:rPr>
        <w:t xml:space="preserve"> to</w:t>
      </w:r>
      <w:r w:rsidR="005028BA" w:rsidRPr="006F0F22">
        <w:rPr>
          <w:sz w:val="22"/>
          <w:szCs w:val="22"/>
          <w:lang w:val="en-GB"/>
        </w:rPr>
        <w:t xml:space="preserve"> </w:t>
      </w:r>
      <w:r w:rsidR="00A33247" w:rsidRPr="006F0F22">
        <w:rPr>
          <w:sz w:val="22"/>
          <w:szCs w:val="22"/>
          <w:lang w:val="en-GB"/>
        </w:rPr>
        <w:t xml:space="preserve">permit compliance </w:t>
      </w:r>
      <w:r w:rsidR="000F554C" w:rsidRPr="006F0F22">
        <w:rPr>
          <w:sz w:val="22"/>
          <w:szCs w:val="22"/>
          <w:lang w:val="en-GB"/>
        </w:rPr>
        <w:t xml:space="preserve">at least </w:t>
      </w:r>
      <w:r w:rsidR="00A33247" w:rsidRPr="006F0F22">
        <w:rPr>
          <w:sz w:val="22"/>
          <w:szCs w:val="22"/>
          <w:lang w:val="en-GB"/>
        </w:rPr>
        <w:t>with basic management functions</w:t>
      </w:r>
      <w:r w:rsidR="006E2B6B" w:rsidRPr="006F0F22">
        <w:rPr>
          <w:sz w:val="22"/>
          <w:szCs w:val="22"/>
          <w:lang w:val="en-GB"/>
        </w:rPr>
        <w:t>.</w:t>
      </w:r>
      <w:r w:rsidRPr="006F0F22">
        <w:rPr>
          <w:sz w:val="22"/>
          <w:szCs w:val="22"/>
          <w:lang w:val="en-GB"/>
        </w:rPr>
        <w:t xml:space="preserve"> The headquarters of </w:t>
      </w:r>
      <w:r w:rsidR="00286E79" w:rsidRPr="006F0F22">
        <w:rPr>
          <w:sz w:val="22"/>
          <w:szCs w:val="22"/>
          <w:lang w:val="en-GB"/>
        </w:rPr>
        <w:t>the PA</w:t>
      </w:r>
      <w:r w:rsidRPr="006F0F22">
        <w:rPr>
          <w:sz w:val="22"/>
          <w:szCs w:val="22"/>
          <w:lang w:val="en-GB"/>
        </w:rPr>
        <w:t xml:space="preserve"> will be support</w:t>
      </w:r>
      <w:r w:rsidR="008B0DDF" w:rsidRPr="006F0F22">
        <w:rPr>
          <w:sz w:val="22"/>
          <w:szCs w:val="22"/>
          <w:lang w:val="en-GB"/>
        </w:rPr>
        <w:t>ed</w:t>
      </w:r>
      <w:r w:rsidRPr="006F0F22">
        <w:rPr>
          <w:sz w:val="22"/>
          <w:szCs w:val="22"/>
          <w:lang w:val="en-GB"/>
        </w:rPr>
        <w:t xml:space="preserve"> th</w:t>
      </w:r>
      <w:r w:rsidR="008B0DDF" w:rsidRPr="006F0F22">
        <w:rPr>
          <w:sz w:val="22"/>
          <w:szCs w:val="22"/>
          <w:lang w:val="en-GB"/>
        </w:rPr>
        <w:t>rough the</w:t>
      </w:r>
      <w:r w:rsidRPr="006F0F22">
        <w:rPr>
          <w:sz w:val="22"/>
          <w:szCs w:val="22"/>
          <w:lang w:val="en-GB"/>
        </w:rPr>
        <w:t xml:space="preserve"> establishment of </w:t>
      </w:r>
      <w:r w:rsidR="00A33247" w:rsidRPr="006F0F22">
        <w:rPr>
          <w:sz w:val="22"/>
          <w:szCs w:val="22"/>
          <w:lang w:val="en-GB"/>
        </w:rPr>
        <w:t xml:space="preserve">functional </w:t>
      </w:r>
      <w:r w:rsidRPr="006F0F22">
        <w:rPr>
          <w:sz w:val="22"/>
          <w:szCs w:val="22"/>
          <w:lang w:val="en-GB"/>
        </w:rPr>
        <w:t>office facilities and the provision of basic equipment</w:t>
      </w:r>
      <w:r w:rsidR="00395F0F" w:rsidRPr="006F0F22">
        <w:rPr>
          <w:sz w:val="22"/>
          <w:szCs w:val="22"/>
          <w:lang w:val="en-GB"/>
        </w:rPr>
        <w:t xml:space="preserve"> and logistics, including</w:t>
      </w:r>
      <w:r w:rsidRPr="006F0F22">
        <w:rPr>
          <w:sz w:val="22"/>
          <w:szCs w:val="22"/>
          <w:lang w:val="en-GB"/>
        </w:rPr>
        <w:t xml:space="preserve"> communication</w:t>
      </w:r>
      <w:r w:rsidR="00395F0F" w:rsidRPr="006F0F22">
        <w:rPr>
          <w:sz w:val="22"/>
          <w:szCs w:val="22"/>
          <w:lang w:val="en-GB"/>
        </w:rPr>
        <w:t xml:space="preserve"> and transport </w:t>
      </w:r>
      <w:r w:rsidR="00AB76B6" w:rsidRPr="006F0F22">
        <w:rPr>
          <w:sz w:val="22"/>
          <w:szCs w:val="22"/>
          <w:lang w:val="en-GB"/>
        </w:rPr>
        <w:t xml:space="preserve">(vehicles, motorbikes, etc.). The project will facilitate the strengthening of management capacity of </w:t>
      </w:r>
      <w:r w:rsidR="0021513E" w:rsidRPr="006F0F22">
        <w:rPr>
          <w:sz w:val="22"/>
          <w:szCs w:val="22"/>
          <w:lang w:val="en-GB"/>
        </w:rPr>
        <w:t>IBAP and DGFF personnel</w:t>
      </w:r>
      <w:r w:rsidR="00EB08FB" w:rsidRPr="006F0F22">
        <w:rPr>
          <w:sz w:val="22"/>
          <w:szCs w:val="22"/>
          <w:lang w:val="en-GB"/>
        </w:rPr>
        <w:t xml:space="preserve"> </w:t>
      </w:r>
      <w:r w:rsidR="0021513E" w:rsidRPr="006F0F22">
        <w:rPr>
          <w:sz w:val="22"/>
          <w:szCs w:val="22"/>
          <w:lang w:val="en-GB"/>
        </w:rPr>
        <w:t xml:space="preserve">with </w:t>
      </w:r>
      <w:r w:rsidR="005C5D1D" w:rsidRPr="006F0F22">
        <w:rPr>
          <w:sz w:val="22"/>
          <w:szCs w:val="22"/>
          <w:lang w:val="en-GB"/>
        </w:rPr>
        <w:t>responsibilities in public and community forest management and PA management, with a particular focus on Cantanhez NP</w:t>
      </w:r>
      <w:r w:rsidR="0021513E" w:rsidRPr="006F0F22">
        <w:rPr>
          <w:sz w:val="22"/>
          <w:szCs w:val="22"/>
          <w:lang w:val="en-GB"/>
        </w:rPr>
        <w:t xml:space="preserve"> and its periphery</w:t>
      </w:r>
      <w:r w:rsidR="00F80F04" w:rsidRPr="006F0F22">
        <w:rPr>
          <w:sz w:val="22"/>
          <w:szCs w:val="22"/>
          <w:lang w:val="en-GB"/>
        </w:rPr>
        <w:t>.</w:t>
      </w:r>
      <w:r w:rsidR="004D7051" w:rsidRPr="006F0F22">
        <w:rPr>
          <w:sz w:val="22"/>
          <w:szCs w:val="22"/>
          <w:lang w:val="en-GB"/>
        </w:rPr>
        <w:t xml:space="preserve"> </w:t>
      </w:r>
      <w:r w:rsidR="00E13761" w:rsidRPr="006F0F22">
        <w:rPr>
          <w:sz w:val="22"/>
          <w:szCs w:val="22"/>
          <w:lang w:val="en-GB"/>
        </w:rPr>
        <w:t>I</w:t>
      </w:r>
      <w:r w:rsidR="003D28DA" w:rsidRPr="006F0F22">
        <w:rPr>
          <w:sz w:val="22"/>
          <w:szCs w:val="22"/>
          <w:lang w:val="en-GB"/>
        </w:rPr>
        <w:t>nitial training needs assessment</w:t>
      </w:r>
      <w:r w:rsidR="00E13761" w:rsidRPr="006F0F22">
        <w:rPr>
          <w:sz w:val="22"/>
          <w:szCs w:val="22"/>
          <w:lang w:val="en-GB"/>
        </w:rPr>
        <w:t>s</w:t>
      </w:r>
      <w:r w:rsidR="003D28DA" w:rsidRPr="006F0F22">
        <w:rPr>
          <w:sz w:val="22"/>
          <w:szCs w:val="22"/>
          <w:lang w:val="en-GB"/>
        </w:rPr>
        <w:t xml:space="preserve"> will be conducted to tailor the capacity building measures supported by the project to the specific skills required for different subjects and at different levels of the two institutions. It can be anticipated that </w:t>
      </w:r>
      <w:r w:rsidR="00AE7A14" w:rsidRPr="006F0F22">
        <w:rPr>
          <w:sz w:val="22"/>
          <w:szCs w:val="22"/>
          <w:lang w:val="en-GB"/>
        </w:rPr>
        <w:t xml:space="preserve">several </w:t>
      </w:r>
      <w:r w:rsidR="002970A9" w:rsidRPr="006F0F22">
        <w:rPr>
          <w:sz w:val="22"/>
          <w:szCs w:val="22"/>
          <w:lang w:val="en-GB"/>
        </w:rPr>
        <w:t xml:space="preserve">PA management, </w:t>
      </w:r>
      <w:r w:rsidR="003D28DA" w:rsidRPr="006F0F22">
        <w:rPr>
          <w:sz w:val="22"/>
          <w:szCs w:val="22"/>
          <w:lang w:val="en-GB"/>
        </w:rPr>
        <w:t xml:space="preserve">biodiversity conservation </w:t>
      </w:r>
      <w:r w:rsidR="002970A9" w:rsidRPr="006F0F22">
        <w:rPr>
          <w:sz w:val="22"/>
          <w:szCs w:val="22"/>
          <w:lang w:val="en-GB"/>
        </w:rPr>
        <w:t xml:space="preserve">and forest management </w:t>
      </w:r>
      <w:r w:rsidR="003D28DA" w:rsidRPr="006F0F22">
        <w:rPr>
          <w:sz w:val="22"/>
          <w:szCs w:val="22"/>
          <w:lang w:val="en-GB"/>
        </w:rPr>
        <w:t xml:space="preserve">functions </w:t>
      </w:r>
      <w:r w:rsidR="00AE7A14" w:rsidRPr="006F0F22">
        <w:rPr>
          <w:sz w:val="22"/>
          <w:szCs w:val="22"/>
          <w:lang w:val="en-GB"/>
        </w:rPr>
        <w:t xml:space="preserve">will </w:t>
      </w:r>
      <w:r w:rsidR="00F80F04" w:rsidRPr="006F0F22">
        <w:rPr>
          <w:sz w:val="22"/>
          <w:szCs w:val="22"/>
          <w:lang w:val="en-GB"/>
        </w:rPr>
        <w:t>be covered</w:t>
      </w:r>
      <w:r w:rsidR="002970A9" w:rsidRPr="006F0F22">
        <w:rPr>
          <w:sz w:val="22"/>
          <w:szCs w:val="22"/>
          <w:lang w:val="en-GB"/>
        </w:rPr>
        <w:t xml:space="preserve">, </w:t>
      </w:r>
      <w:r w:rsidR="00AE7A14" w:rsidRPr="006F0F22">
        <w:rPr>
          <w:sz w:val="22"/>
          <w:szCs w:val="22"/>
          <w:lang w:val="en-GB"/>
        </w:rPr>
        <w:t>such as</w:t>
      </w:r>
      <w:r w:rsidR="008965B4" w:rsidRPr="006F0F22">
        <w:rPr>
          <w:sz w:val="22"/>
          <w:szCs w:val="22"/>
          <w:lang w:val="en-GB"/>
        </w:rPr>
        <w:t xml:space="preserve"> </w:t>
      </w:r>
      <w:r w:rsidR="002970A9" w:rsidRPr="006F0F22">
        <w:rPr>
          <w:sz w:val="22"/>
          <w:szCs w:val="22"/>
          <w:lang w:val="en-GB"/>
        </w:rPr>
        <w:t xml:space="preserve">(i) </w:t>
      </w:r>
      <w:r w:rsidR="003D28DA" w:rsidRPr="006F0F22">
        <w:rPr>
          <w:sz w:val="22"/>
          <w:szCs w:val="22"/>
          <w:lang w:val="en-GB"/>
        </w:rPr>
        <w:t xml:space="preserve">law </w:t>
      </w:r>
      <w:r w:rsidR="00F80F04" w:rsidRPr="006F0F22">
        <w:rPr>
          <w:sz w:val="22"/>
          <w:szCs w:val="22"/>
          <w:lang w:val="en-GB"/>
        </w:rPr>
        <w:t xml:space="preserve">enforcement, </w:t>
      </w:r>
      <w:r w:rsidR="002970A9" w:rsidRPr="006F0F22">
        <w:rPr>
          <w:sz w:val="22"/>
          <w:szCs w:val="22"/>
          <w:lang w:val="en-GB"/>
        </w:rPr>
        <w:t xml:space="preserve">(ii) </w:t>
      </w:r>
      <w:r w:rsidR="00F80F04" w:rsidRPr="006F0F22">
        <w:rPr>
          <w:sz w:val="22"/>
          <w:szCs w:val="22"/>
          <w:lang w:val="en-GB"/>
        </w:rPr>
        <w:t>policing,</w:t>
      </w:r>
      <w:r w:rsidR="004D7051" w:rsidRPr="006F0F22">
        <w:rPr>
          <w:sz w:val="22"/>
          <w:szCs w:val="22"/>
          <w:lang w:val="en-GB"/>
        </w:rPr>
        <w:t xml:space="preserve"> </w:t>
      </w:r>
      <w:r w:rsidR="002970A9" w:rsidRPr="006F0F22">
        <w:rPr>
          <w:sz w:val="22"/>
          <w:szCs w:val="22"/>
          <w:lang w:val="en-GB"/>
        </w:rPr>
        <w:t xml:space="preserve">(iii) </w:t>
      </w:r>
      <w:r w:rsidR="00E218E1" w:rsidRPr="006F0F22">
        <w:rPr>
          <w:sz w:val="22"/>
          <w:szCs w:val="22"/>
          <w:lang w:val="en-GB"/>
        </w:rPr>
        <w:t xml:space="preserve">biodiversity </w:t>
      </w:r>
      <w:r w:rsidR="002970A9" w:rsidRPr="006F0F22">
        <w:rPr>
          <w:sz w:val="22"/>
          <w:szCs w:val="22"/>
          <w:lang w:val="en-GB"/>
        </w:rPr>
        <w:t xml:space="preserve">and forest </w:t>
      </w:r>
      <w:r w:rsidR="004C43C1" w:rsidRPr="006F0F22">
        <w:rPr>
          <w:sz w:val="22"/>
          <w:szCs w:val="22"/>
          <w:lang w:val="en-GB"/>
        </w:rPr>
        <w:t xml:space="preserve">surveying and </w:t>
      </w:r>
      <w:r w:rsidR="009A4066" w:rsidRPr="006F0F22">
        <w:rPr>
          <w:sz w:val="22"/>
          <w:szCs w:val="22"/>
          <w:lang w:val="en-GB"/>
        </w:rPr>
        <w:t xml:space="preserve">monitoring, </w:t>
      </w:r>
      <w:r w:rsidR="004D7051" w:rsidRPr="006F0F22">
        <w:rPr>
          <w:sz w:val="22"/>
          <w:szCs w:val="22"/>
          <w:lang w:val="en-GB"/>
        </w:rPr>
        <w:t xml:space="preserve">(iv) community </w:t>
      </w:r>
      <w:r w:rsidR="003D28DA" w:rsidRPr="006F0F22">
        <w:rPr>
          <w:sz w:val="22"/>
          <w:szCs w:val="22"/>
          <w:lang w:val="en-GB"/>
        </w:rPr>
        <w:t xml:space="preserve">engagement, </w:t>
      </w:r>
      <w:r w:rsidR="002970A9" w:rsidRPr="006F0F22">
        <w:rPr>
          <w:sz w:val="22"/>
          <w:szCs w:val="22"/>
          <w:lang w:val="en-GB"/>
        </w:rPr>
        <w:t xml:space="preserve">(v) </w:t>
      </w:r>
      <w:r w:rsidR="003D28DA" w:rsidRPr="006F0F22">
        <w:rPr>
          <w:sz w:val="22"/>
          <w:szCs w:val="22"/>
          <w:lang w:val="en-GB"/>
        </w:rPr>
        <w:t>conflict resolution techn</w:t>
      </w:r>
      <w:r w:rsidR="002970A9" w:rsidRPr="006F0F22">
        <w:rPr>
          <w:sz w:val="22"/>
          <w:szCs w:val="22"/>
          <w:lang w:val="en-GB"/>
        </w:rPr>
        <w:t xml:space="preserve">iques </w:t>
      </w:r>
      <w:r w:rsidR="004C43C1" w:rsidRPr="006F0F22">
        <w:rPr>
          <w:sz w:val="22"/>
          <w:szCs w:val="22"/>
          <w:lang w:val="en-GB"/>
        </w:rPr>
        <w:t xml:space="preserve">and </w:t>
      </w:r>
      <w:r w:rsidR="002970A9" w:rsidRPr="006F0F22">
        <w:rPr>
          <w:sz w:val="22"/>
          <w:szCs w:val="22"/>
          <w:lang w:val="en-GB"/>
        </w:rPr>
        <w:t xml:space="preserve">(vi) </w:t>
      </w:r>
      <w:r w:rsidR="0077407B" w:rsidRPr="006F0F22">
        <w:rPr>
          <w:sz w:val="22"/>
          <w:szCs w:val="22"/>
          <w:lang w:val="en-GB"/>
        </w:rPr>
        <w:t>reporting</w:t>
      </w:r>
      <w:r w:rsidR="002970A9" w:rsidRPr="006F0F22">
        <w:rPr>
          <w:sz w:val="22"/>
          <w:szCs w:val="22"/>
          <w:lang w:val="en-GB"/>
        </w:rPr>
        <w:t xml:space="preserve">. </w:t>
      </w:r>
      <w:r w:rsidR="008877B0" w:rsidRPr="006F0F22">
        <w:rPr>
          <w:sz w:val="22"/>
          <w:szCs w:val="22"/>
          <w:lang w:val="en-GB"/>
        </w:rPr>
        <w:t xml:space="preserve">Given the high level of logging </w:t>
      </w:r>
      <w:r w:rsidR="001A0D22" w:rsidRPr="006F0F22">
        <w:rPr>
          <w:sz w:val="22"/>
          <w:szCs w:val="22"/>
          <w:lang w:val="en-GB"/>
        </w:rPr>
        <w:t xml:space="preserve">pressure </w:t>
      </w:r>
      <w:r w:rsidR="008877B0" w:rsidRPr="006F0F22">
        <w:rPr>
          <w:sz w:val="22"/>
          <w:szCs w:val="22"/>
          <w:lang w:val="en-GB"/>
        </w:rPr>
        <w:t xml:space="preserve">currently experienced throughout the Forest Belt region, </w:t>
      </w:r>
      <w:r w:rsidR="001A0D22" w:rsidRPr="006F0F22">
        <w:rPr>
          <w:sz w:val="22"/>
          <w:szCs w:val="22"/>
          <w:lang w:val="en-GB"/>
        </w:rPr>
        <w:t>including</w:t>
      </w:r>
      <w:r w:rsidR="008965B4" w:rsidRPr="006F0F22">
        <w:rPr>
          <w:sz w:val="22"/>
          <w:szCs w:val="22"/>
          <w:lang w:val="en-GB"/>
        </w:rPr>
        <w:t xml:space="preserve"> </w:t>
      </w:r>
      <w:r w:rsidR="001A0D22" w:rsidRPr="006F0F22">
        <w:rPr>
          <w:sz w:val="22"/>
          <w:szCs w:val="22"/>
          <w:lang w:val="en-GB"/>
        </w:rPr>
        <w:t>such exerted from foreign companies,</w:t>
      </w:r>
      <w:r w:rsidR="008B0DDF" w:rsidRPr="006F0F22">
        <w:rPr>
          <w:sz w:val="22"/>
          <w:szCs w:val="22"/>
          <w:lang w:val="en-GB"/>
        </w:rPr>
        <w:t xml:space="preserve"> </w:t>
      </w:r>
      <w:r w:rsidR="008877B0" w:rsidRPr="006F0F22">
        <w:rPr>
          <w:sz w:val="22"/>
          <w:szCs w:val="22"/>
          <w:lang w:val="en-GB"/>
        </w:rPr>
        <w:t xml:space="preserve">special emphasis will be placed on Environmental Impact Assessment (EIA) and the licensing and monitoring of </w:t>
      </w:r>
      <w:r w:rsidR="00222B2A" w:rsidRPr="006F0F22">
        <w:rPr>
          <w:sz w:val="22"/>
          <w:szCs w:val="22"/>
          <w:lang w:val="en-GB"/>
        </w:rPr>
        <w:t xml:space="preserve">related </w:t>
      </w:r>
      <w:r w:rsidR="008877B0" w:rsidRPr="006F0F22">
        <w:rPr>
          <w:sz w:val="22"/>
          <w:szCs w:val="22"/>
          <w:lang w:val="en-GB"/>
        </w:rPr>
        <w:t>activities in and around PAs. In this respect</w:t>
      </w:r>
      <w:r w:rsidR="00F80F04" w:rsidRPr="006F0F22">
        <w:rPr>
          <w:sz w:val="22"/>
          <w:szCs w:val="22"/>
          <w:lang w:val="en-GB"/>
        </w:rPr>
        <w:t xml:space="preserve">, </w:t>
      </w:r>
      <w:r w:rsidR="008877B0" w:rsidRPr="006F0F22">
        <w:rPr>
          <w:sz w:val="22"/>
          <w:szCs w:val="22"/>
          <w:lang w:val="en-GB"/>
        </w:rPr>
        <w:t xml:space="preserve">the participation of </w:t>
      </w:r>
      <w:r w:rsidR="00F80F04" w:rsidRPr="006F0F22">
        <w:rPr>
          <w:sz w:val="22"/>
          <w:szCs w:val="22"/>
          <w:lang w:val="en-GB"/>
        </w:rPr>
        <w:t xml:space="preserve">CAIA, the unit within the </w:t>
      </w:r>
      <w:r w:rsidR="005344A6" w:rsidRPr="006F0F22">
        <w:rPr>
          <w:sz w:val="22"/>
          <w:szCs w:val="22"/>
          <w:lang w:val="en-GB"/>
        </w:rPr>
        <w:t xml:space="preserve">State Secretariat for Environment and Tourism </w:t>
      </w:r>
      <w:r w:rsidR="002970A9" w:rsidRPr="006F0F22">
        <w:rPr>
          <w:sz w:val="22"/>
          <w:szCs w:val="22"/>
          <w:lang w:val="en-GB"/>
        </w:rPr>
        <w:t>(SEAT),</w:t>
      </w:r>
      <w:r w:rsidR="00F80F04" w:rsidRPr="006F0F22">
        <w:rPr>
          <w:sz w:val="22"/>
          <w:szCs w:val="22"/>
          <w:lang w:val="en-GB"/>
        </w:rPr>
        <w:t xml:space="preserve"> mandated to ensure EIA functions within </w:t>
      </w:r>
      <w:r w:rsidR="00F71D3E" w:rsidRPr="006F0F22">
        <w:rPr>
          <w:sz w:val="22"/>
          <w:szCs w:val="22"/>
          <w:lang w:val="en-GB"/>
        </w:rPr>
        <w:t>Guinea-Bissau</w:t>
      </w:r>
      <w:r w:rsidR="00AE7A14" w:rsidRPr="006F0F22">
        <w:rPr>
          <w:sz w:val="22"/>
          <w:szCs w:val="22"/>
          <w:lang w:val="en-GB"/>
        </w:rPr>
        <w:t>,</w:t>
      </w:r>
      <w:r w:rsidR="00F80F04" w:rsidRPr="006F0F22">
        <w:rPr>
          <w:sz w:val="22"/>
          <w:szCs w:val="22"/>
          <w:lang w:val="en-GB"/>
        </w:rPr>
        <w:t xml:space="preserve"> will be actively sought.</w:t>
      </w:r>
      <w:r w:rsidR="00A33247" w:rsidRPr="006F0F22">
        <w:rPr>
          <w:sz w:val="22"/>
          <w:szCs w:val="22"/>
          <w:lang w:val="en-GB"/>
        </w:rPr>
        <w:t xml:space="preserve"> </w:t>
      </w:r>
    </w:p>
    <w:p w:rsidR="0098031A" w:rsidRPr="006F0F22" w:rsidRDefault="0098031A" w:rsidP="0098031A">
      <w:pPr>
        <w:pStyle w:val="Footer"/>
        <w:tabs>
          <w:tab w:val="clear" w:pos="4320"/>
          <w:tab w:val="clear" w:pos="8640"/>
        </w:tabs>
        <w:ind w:left="0"/>
        <w:contextualSpacing/>
        <w:jc w:val="both"/>
        <w:rPr>
          <w:sz w:val="22"/>
          <w:szCs w:val="22"/>
          <w:lang w:val="en-GB"/>
        </w:rPr>
      </w:pPr>
    </w:p>
    <w:p w:rsidR="002934F6" w:rsidRPr="006F0F22" w:rsidRDefault="00DA3613" w:rsidP="00DA7A89">
      <w:pPr>
        <w:pStyle w:val="Footer"/>
        <w:numPr>
          <w:ilvl w:val="0"/>
          <w:numId w:val="24"/>
        </w:numPr>
        <w:tabs>
          <w:tab w:val="clear" w:pos="4320"/>
          <w:tab w:val="clear" w:pos="8640"/>
        </w:tabs>
        <w:ind w:left="0" w:firstLine="0"/>
        <w:contextualSpacing/>
        <w:jc w:val="both"/>
        <w:rPr>
          <w:sz w:val="22"/>
          <w:szCs w:val="22"/>
          <w:lang w:val="en-GB"/>
        </w:rPr>
      </w:pPr>
      <w:r w:rsidRPr="006F0F22">
        <w:rPr>
          <w:sz w:val="22"/>
          <w:szCs w:val="22"/>
          <w:lang w:val="en-GB"/>
        </w:rPr>
        <w:t xml:space="preserve">A strengthened and better aligned enabling environment involving IBAP, DGFF and other key </w:t>
      </w:r>
      <w:r w:rsidR="00A771B0" w:rsidRPr="006F0F22">
        <w:rPr>
          <w:sz w:val="22"/>
          <w:szCs w:val="22"/>
          <w:lang w:val="en-GB"/>
        </w:rPr>
        <w:t xml:space="preserve">stakeholders </w:t>
      </w:r>
      <w:r w:rsidRPr="006F0F22">
        <w:rPr>
          <w:sz w:val="22"/>
          <w:szCs w:val="22"/>
          <w:lang w:val="en-GB"/>
        </w:rPr>
        <w:t>will be supported by the project</w:t>
      </w:r>
      <w:r w:rsidR="00A771B0" w:rsidRPr="006F0F22">
        <w:rPr>
          <w:sz w:val="22"/>
          <w:szCs w:val="22"/>
          <w:lang w:val="en-GB"/>
        </w:rPr>
        <w:t xml:space="preserve"> in order</w:t>
      </w:r>
      <w:r w:rsidRPr="006F0F22">
        <w:rPr>
          <w:sz w:val="22"/>
          <w:szCs w:val="22"/>
          <w:lang w:val="en-GB"/>
        </w:rPr>
        <w:t xml:space="preserve"> to </w:t>
      </w:r>
      <w:r w:rsidR="00A771B0" w:rsidRPr="006F0F22">
        <w:rPr>
          <w:sz w:val="22"/>
          <w:szCs w:val="22"/>
          <w:lang w:val="en-GB"/>
        </w:rPr>
        <w:t>promote</w:t>
      </w:r>
      <w:r w:rsidRPr="006F0F22">
        <w:rPr>
          <w:sz w:val="22"/>
          <w:szCs w:val="22"/>
          <w:lang w:val="en-GB"/>
        </w:rPr>
        <w:t xml:space="preserve"> the effective management of viable buffer zones and </w:t>
      </w:r>
      <w:r w:rsidR="00E13761" w:rsidRPr="006F0F22">
        <w:rPr>
          <w:sz w:val="22"/>
          <w:szCs w:val="22"/>
          <w:lang w:val="en-GB"/>
        </w:rPr>
        <w:t>adjacent areas</w:t>
      </w:r>
      <w:r w:rsidR="0019660B" w:rsidRPr="006F0F22">
        <w:rPr>
          <w:sz w:val="22"/>
          <w:szCs w:val="22"/>
          <w:lang w:val="en-GB"/>
        </w:rPr>
        <w:t>.</w:t>
      </w:r>
      <w:r w:rsidR="00A33247" w:rsidRPr="006F0F22">
        <w:rPr>
          <w:sz w:val="22"/>
          <w:szCs w:val="22"/>
          <w:lang w:val="en-GB"/>
        </w:rPr>
        <w:t xml:space="preserve"> The effective collaboration of IBAP and DGFF will be critical in tackling the complex socioeconomic reality prevailing in and around Cantanhez NP</w:t>
      </w:r>
      <w:r w:rsidR="00DA7A89" w:rsidRPr="006F0F22">
        <w:rPr>
          <w:sz w:val="22"/>
          <w:szCs w:val="22"/>
          <w:lang w:val="en-GB"/>
        </w:rPr>
        <w:t xml:space="preserve">; </w:t>
      </w:r>
      <w:r w:rsidR="00AC0877" w:rsidRPr="006F0F22">
        <w:rPr>
          <w:sz w:val="22"/>
          <w:szCs w:val="22"/>
          <w:lang w:val="en-GB"/>
        </w:rPr>
        <w:t>for example this should ensure that exploitation permits issued by DGFF are consistent with PA and community-based forest management goals defined by IBAP and other key stakeholders.</w:t>
      </w:r>
      <w:r w:rsidR="00DA7A89" w:rsidRPr="006F0F22">
        <w:rPr>
          <w:sz w:val="22"/>
          <w:szCs w:val="22"/>
          <w:lang w:val="en-GB"/>
        </w:rPr>
        <w:t xml:space="preserve"> </w:t>
      </w:r>
      <w:r w:rsidR="00A33247" w:rsidRPr="006F0F22">
        <w:rPr>
          <w:sz w:val="22"/>
          <w:szCs w:val="22"/>
          <w:lang w:val="en-GB"/>
        </w:rPr>
        <w:t xml:space="preserve">Under this component, the project will also support the review of the existing management plan </w:t>
      </w:r>
      <w:r w:rsidR="002657B9" w:rsidRPr="006F0F22">
        <w:rPr>
          <w:sz w:val="22"/>
          <w:szCs w:val="22"/>
          <w:lang w:val="en-GB"/>
        </w:rPr>
        <w:t xml:space="preserve">and develop a business plan </w:t>
      </w:r>
      <w:r w:rsidR="00A33247" w:rsidRPr="006F0F22">
        <w:rPr>
          <w:sz w:val="22"/>
          <w:szCs w:val="22"/>
          <w:lang w:val="en-GB"/>
        </w:rPr>
        <w:t>for Cantanhez NP</w:t>
      </w:r>
      <w:r w:rsidR="002657B9" w:rsidRPr="006F0F22">
        <w:rPr>
          <w:sz w:val="22"/>
          <w:szCs w:val="22"/>
          <w:lang w:val="en-GB"/>
        </w:rPr>
        <w:t xml:space="preserve">. The management plan for the </w:t>
      </w:r>
      <w:r w:rsidR="007F0431" w:rsidRPr="006F0F22">
        <w:rPr>
          <w:sz w:val="22"/>
          <w:szCs w:val="22"/>
          <w:lang w:val="en-GB"/>
        </w:rPr>
        <w:t>site</w:t>
      </w:r>
      <w:r w:rsidR="002657B9" w:rsidRPr="006F0F22">
        <w:rPr>
          <w:sz w:val="22"/>
          <w:szCs w:val="22"/>
          <w:lang w:val="en-GB"/>
        </w:rPr>
        <w:t xml:space="preserve"> was </w:t>
      </w:r>
      <w:r w:rsidR="00A33247" w:rsidRPr="006F0F22">
        <w:rPr>
          <w:sz w:val="22"/>
          <w:szCs w:val="22"/>
          <w:lang w:val="en-GB"/>
        </w:rPr>
        <w:t>established in 2008 for a 5 year period as part of the PA’s declaration process</w:t>
      </w:r>
      <w:r w:rsidR="00A33247" w:rsidRPr="006F0F22">
        <w:rPr>
          <w:rStyle w:val="FootnoteReference"/>
          <w:sz w:val="22"/>
          <w:szCs w:val="22"/>
          <w:lang w:val="en-GB"/>
        </w:rPr>
        <w:footnoteReference w:id="21"/>
      </w:r>
      <w:r w:rsidR="008A6E84" w:rsidRPr="006F0F22">
        <w:rPr>
          <w:sz w:val="22"/>
          <w:szCs w:val="22"/>
          <w:lang w:val="en-GB"/>
        </w:rPr>
        <w:t>.</w:t>
      </w:r>
      <w:r w:rsidR="00A33247" w:rsidRPr="006F0F22">
        <w:rPr>
          <w:sz w:val="22"/>
          <w:szCs w:val="22"/>
          <w:lang w:val="en-GB"/>
        </w:rPr>
        <w:t xml:space="preserve"> The management plan is reaching the end of its period of validity and will be updated </w:t>
      </w:r>
      <w:r w:rsidR="008B0DDF" w:rsidRPr="006F0F22">
        <w:rPr>
          <w:sz w:val="22"/>
          <w:szCs w:val="22"/>
          <w:lang w:val="en-GB"/>
        </w:rPr>
        <w:t xml:space="preserve">based </w:t>
      </w:r>
      <w:r w:rsidR="00A33247" w:rsidRPr="006F0F22">
        <w:rPr>
          <w:sz w:val="22"/>
          <w:szCs w:val="22"/>
          <w:lang w:val="en-GB"/>
        </w:rPr>
        <w:t>on the careful reassessment of the situation on the ground in the different zones of the PA</w:t>
      </w:r>
      <w:r w:rsidR="00A33247" w:rsidRPr="006F0F22">
        <w:rPr>
          <w:rStyle w:val="FootnoteReference"/>
          <w:sz w:val="22"/>
          <w:szCs w:val="22"/>
          <w:lang w:val="en-GB"/>
        </w:rPr>
        <w:footnoteReference w:id="22"/>
      </w:r>
      <w:r w:rsidR="00EC6ABE" w:rsidRPr="006F0F22">
        <w:rPr>
          <w:sz w:val="22"/>
          <w:szCs w:val="22"/>
          <w:lang w:val="en-GB"/>
        </w:rPr>
        <w:t>.</w:t>
      </w:r>
      <w:r w:rsidR="00A33247" w:rsidRPr="006F0F22">
        <w:rPr>
          <w:sz w:val="22"/>
          <w:szCs w:val="22"/>
          <w:lang w:val="en-GB"/>
        </w:rPr>
        <w:t xml:space="preserve"> </w:t>
      </w:r>
      <w:r w:rsidR="007F0431" w:rsidRPr="006F0F22">
        <w:rPr>
          <w:sz w:val="22"/>
          <w:szCs w:val="22"/>
          <w:lang w:val="en-GB"/>
        </w:rPr>
        <w:t>Within the prevailing climate of resource restriction, t</w:t>
      </w:r>
      <w:r w:rsidR="002657B9" w:rsidRPr="006F0F22">
        <w:rPr>
          <w:sz w:val="22"/>
          <w:szCs w:val="22"/>
          <w:lang w:val="en-GB"/>
        </w:rPr>
        <w:t xml:space="preserve">he project will facilitate the coordinated identification and prioritisation of management activities and allocation of funds by IBAP, DGFF and other sectoral institutions with responsibilities for biodiversity conservation, forestry and land use planning in Cantanhez NP and its periphery. </w:t>
      </w:r>
    </w:p>
    <w:p w:rsidR="002934F6" w:rsidRPr="006F0F22" w:rsidRDefault="002934F6" w:rsidP="002934F6">
      <w:pPr>
        <w:pStyle w:val="Footer"/>
        <w:tabs>
          <w:tab w:val="clear" w:pos="4320"/>
          <w:tab w:val="clear" w:pos="8640"/>
        </w:tabs>
        <w:ind w:left="0"/>
        <w:contextualSpacing/>
        <w:jc w:val="both"/>
        <w:rPr>
          <w:sz w:val="22"/>
          <w:szCs w:val="22"/>
          <w:lang w:val="en-GB"/>
        </w:rPr>
      </w:pPr>
    </w:p>
    <w:p w:rsidR="008965B4" w:rsidRPr="006F0F22" w:rsidRDefault="002934F6" w:rsidP="0068120B">
      <w:pPr>
        <w:pStyle w:val="Footer"/>
        <w:numPr>
          <w:ilvl w:val="0"/>
          <w:numId w:val="24"/>
        </w:numPr>
        <w:tabs>
          <w:tab w:val="clear" w:pos="4320"/>
          <w:tab w:val="clear" w:pos="8640"/>
        </w:tabs>
        <w:ind w:left="0" w:firstLine="0"/>
        <w:contextualSpacing/>
        <w:jc w:val="both"/>
        <w:rPr>
          <w:sz w:val="22"/>
          <w:szCs w:val="22"/>
          <w:lang w:val="en-GB"/>
        </w:rPr>
      </w:pPr>
      <w:r w:rsidRPr="006F0F22">
        <w:rPr>
          <w:sz w:val="22"/>
          <w:szCs w:val="22"/>
          <w:lang w:val="en-GB"/>
        </w:rPr>
        <w:t xml:space="preserve">As </w:t>
      </w:r>
      <w:r w:rsidR="009B41A3" w:rsidRPr="006F0F22">
        <w:rPr>
          <w:sz w:val="22"/>
          <w:szCs w:val="22"/>
          <w:lang w:val="en-GB"/>
        </w:rPr>
        <w:t xml:space="preserve">indicated </w:t>
      </w:r>
      <w:r w:rsidRPr="006F0F22">
        <w:rPr>
          <w:sz w:val="22"/>
          <w:szCs w:val="22"/>
          <w:lang w:val="en-GB"/>
        </w:rPr>
        <w:t>above</w:t>
      </w:r>
      <w:r w:rsidR="004A5C2A" w:rsidRPr="006F0F22">
        <w:rPr>
          <w:sz w:val="22"/>
          <w:szCs w:val="22"/>
          <w:lang w:val="en-GB"/>
        </w:rPr>
        <w:t>,</w:t>
      </w:r>
      <w:r w:rsidRPr="006F0F22">
        <w:rPr>
          <w:sz w:val="22"/>
          <w:szCs w:val="22"/>
          <w:lang w:val="en-GB"/>
        </w:rPr>
        <w:t xml:space="preserve"> Cantanhez NP has in th</w:t>
      </w:r>
      <w:r w:rsidR="004A5C2A" w:rsidRPr="006F0F22">
        <w:rPr>
          <w:sz w:val="22"/>
          <w:szCs w:val="22"/>
          <w:lang w:val="en-GB"/>
        </w:rPr>
        <w:t>e</w:t>
      </w:r>
      <w:r w:rsidRPr="006F0F22">
        <w:rPr>
          <w:sz w:val="22"/>
          <w:szCs w:val="22"/>
          <w:lang w:val="en-GB"/>
        </w:rPr>
        <w:t xml:space="preserve"> past benefited from </w:t>
      </w:r>
      <w:r w:rsidR="004A5C2A" w:rsidRPr="006F0F22">
        <w:rPr>
          <w:sz w:val="22"/>
          <w:szCs w:val="22"/>
          <w:lang w:val="en-GB"/>
        </w:rPr>
        <w:t xml:space="preserve">local-level action from resident communities </w:t>
      </w:r>
      <w:r w:rsidR="0081622F" w:rsidRPr="006F0F22">
        <w:rPr>
          <w:sz w:val="22"/>
          <w:szCs w:val="22"/>
          <w:lang w:val="en-GB"/>
        </w:rPr>
        <w:t xml:space="preserve">living </w:t>
      </w:r>
      <w:r w:rsidR="004A5C2A" w:rsidRPr="006F0F22">
        <w:rPr>
          <w:sz w:val="22"/>
          <w:szCs w:val="22"/>
          <w:lang w:val="en-GB"/>
        </w:rPr>
        <w:t xml:space="preserve">within and adjacent to the NP. This has involved local and national NGOs </w:t>
      </w:r>
      <w:r w:rsidR="0081622F" w:rsidRPr="006F0F22">
        <w:rPr>
          <w:sz w:val="22"/>
          <w:szCs w:val="22"/>
          <w:lang w:val="en-GB"/>
        </w:rPr>
        <w:t xml:space="preserve">(incl. FIAL, AD, TINIGUENA, DIVUTEC) </w:t>
      </w:r>
      <w:r w:rsidR="004A5C2A" w:rsidRPr="006F0F22">
        <w:rPr>
          <w:sz w:val="22"/>
          <w:szCs w:val="22"/>
          <w:lang w:val="en-GB"/>
        </w:rPr>
        <w:t>with support from international organisations and donors such as IUCN and</w:t>
      </w:r>
      <w:r w:rsidR="009B41A3" w:rsidRPr="006F0F22">
        <w:rPr>
          <w:sz w:val="22"/>
          <w:szCs w:val="22"/>
          <w:lang w:val="en-GB"/>
        </w:rPr>
        <w:t xml:space="preserve"> </w:t>
      </w:r>
      <w:r w:rsidR="004A5C2A" w:rsidRPr="006F0F22">
        <w:rPr>
          <w:sz w:val="22"/>
          <w:szCs w:val="22"/>
          <w:lang w:val="en-GB"/>
        </w:rPr>
        <w:t>the EU.</w:t>
      </w:r>
      <w:r w:rsidR="009B41A3" w:rsidRPr="006F0F22">
        <w:rPr>
          <w:sz w:val="22"/>
          <w:szCs w:val="22"/>
          <w:lang w:val="en-GB"/>
        </w:rPr>
        <w:t xml:space="preserve"> Further engaging these and other relevant local communities </w:t>
      </w:r>
      <w:r w:rsidR="0081622F" w:rsidRPr="006F0F22">
        <w:rPr>
          <w:sz w:val="22"/>
          <w:szCs w:val="22"/>
          <w:lang w:val="en-GB"/>
        </w:rPr>
        <w:t xml:space="preserve">and NGOs </w:t>
      </w:r>
      <w:r w:rsidR="005C2DEB" w:rsidRPr="006F0F22">
        <w:rPr>
          <w:sz w:val="22"/>
          <w:szCs w:val="22"/>
          <w:lang w:val="en-GB"/>
        </w:rPr>
        <w:t xml:space="preserve">through public participation </w:t>
      </w:r>
      <w:r w:rsidR="009B41A3" w:rsidRPr="006F0F22">
        <w:rPr>
          <w:sz w:val="22"/>
          <w:szCs w:val="22"/>
          <w:lang w:val="en-GB"/>
        </w:rPr>
        <w:t xml:space="preserve">is hence essential to secure a sound entry of the project (i.e. </w:t>
      </w:r>
      <w:r w:rsidR="005C2DEB" w:rsidRPr="006F0F22">
        <w:rPr>
          <w:sz w:val="22"/>
          <w:szCs w:val="22"/>
          <w:lang w:val="en-GB"/>
        </w:rPr>
        <w:t xml:space="preserve">PA </w:t>
      </w:r>
      <w:r w:rsidR="009B41A3" w:rsidRPr="006F0F22">
        <w:rPr>
          <w:sz w:val="22"/>
          <w:szCs w:val="22"/>
          <w:lang w:val="en-GB"/>
        </w:rPr>
        <w:t>management under the leadership of IBA</w:t>
      </w:r>
      <w:r w:rsidR="00DA2239" w:rsidRPr="006F0F22">
        <w:rPr>
          <w:sz w:val="22"/>
          <w:szCs w:val="22"/>
          <w:lang w:val="en-GB"/>
        </w:rPr>
        <w:t>P) in the region, also with a vi</w:t>
      </w:r>
      <w:r w:rsidR="009B41A3" w:rsidRPr="006F0F22">
        <w:rPr>
          <w:sz w:val="22"/>
          <w:szCs w:val="22"/>
          <w:lang w:val="en-GB"/>
        </w:rPr>
        <w:t xml:space="preserve">ew on </w:t>
      </w:r>
      <w:r w:rsidR="00C8694C" w:rsidRPr="006F0F22">
        <w:rPr>
          <w:sz w:val="22"/>
          <w:szCs w:val="22"/>
          <w:lang w:val="en-GB"/>
        </w:rPr>
        <w:t xml:space="preserve">effective delivery and </w:t>
      </w:r>
      <w:r w:rsidR="005C2DEB" w:rsidRPr="006F0F22">
        <w:rPr>
          <w:sz w:val="22"/>
          <w:szCs w:val="22"/>
          <w:lang w:val="en-GB"/>
        </w:rPr>
        <w:t>cost-efficiency</w:t>
      </w:r>
      <w:r w:rsidR="009B41A3" w:rsidRPr="006F0F22">
        <w:rPr>
          <w:sz w:val="22"/>
          <w:szCs w:val="22"/>
          <w:lang w:val="en-GB"/>
        </w:rPr>
        <w:t>.</w:t>
      </w:r>
      <w:r w:rsidR="004A5C2A" w:rsidRPr="006F0F22">
        <w:rPr>
          <w:sz w:val="22"/>
          <w:szCs w:val="22"/>
          <w:lang w:val="en-GB"/>
        </w:rPr>
        <w:t xml:space="preserve"> </w:t>
      </w:r>
      <w:r w:rsidR="00DB3DF3" w:rsidRPr="006F0F22">
        <w:rPr>
          <w:sz w:val="22"/>
          <w:szCs w:val="22"/>
          <w:lang w:val="en-GB"/>
        </w:rPr>
        <w:t xml:space="preserve">The project will also support the capacity of local communities and facilitate the consolidation of institutional arrangements (PA management councils, etc.) for negotiating, implementing and monitoring collaborative management agreements, including conflict resolution mechanisms, surveillance and enforcement. Innovative biodiversity-friendly economic activities involving local communities will also be developed and demonstrated in pilot sites as a way of improving income generation while promoting sustainable livelihoods with reduced impact on biodiversity resources and ecosystem services. </w:t>
      </w:r>
      <w:r w:rsidR="00376BEA" w:rsidRPr="006F0F22">
        <w:rPr>
          <w:sz w:val="22"/>
          <w:szCs w:val="22"/>
          <w:lang w:val="en-GB"/>
        </w:rPr>
        <w:t xml:space="preserve">Project delivery mechanisms will involve a blend of </w:t>
      </w:r>
      <w:r w:rsidR="00537BF4" w:rsidRPr="006F0F22">
        <w:rPr>
          <w:sz w:val="22"/>
          <w:szCs w:val="22"/>
          <w:lang w:val="en-GB"/>
        </w:rPr>
        <w:t xml:space="preserve">grants and </w:t>
      </w:r>
      <w:r w:rsidR="00376BEA" w:rsidRPr="006F0F22">
        <w:rPr>
          <w:sz w:val="22"/>
          <w:szCs w:val="22"/>
          <w:lang w:val="en-GB"/>
        </w:rPr>
        <w:t>incentives</w:t>
      </w:r>
      <w:r w:rsidR="00537BF4" w:rsidRPr="006F0F22">
        <w:rPr>
          <w:sz w:val="22"/>
          <w:szCs w:val="22"/>
          <w:lang w:val="en-GB"/>
        </w:rPr>
        <w:t xml:space="preserve"> involving technical guidelines and partial commitments from local </w:t>
      </w:r>
      <w:r w:rsidR="00537BF4" w:rsidRPr="006F0F22">
        <w:rPr>
          <w:sz w:val="22"/>
          <w:szCs w:val="22"/>
          <w:lang w:val="en-GB"/>
        </w:rPr>
        <w:lastRenderedPageBreak/>
        <w:t>actors to enhance sustainability</w:t>
      </w:r>
      <w:r w:rsidR="00376BEA" w:rsidRPr="006F0F22">
        <w:rPr>
          <w:sz w:val="22"/>
          <w:szCs w:val="22"/>
          <w:lang w:val="en-GB"/>
        </w:rPr>
        <w:t xml:space="preserve">, and target </w:t>
      </w:r>
      <w:r w:rsidR="00DB3DF3" w:rsidRPr="006F0F22">
        <w:rPr>
          <w:sz w:val="22"/>
          <w:szCs w:val="22"/>
          <w:lang w:val="en-GB"/>
        </w:rPr>
        <w:t>potential s</w:t>
      </w:r>
      <w:r w:rsidR="00376BEA" w:rsidRPr="006F0F22">
        <w:rPr>
          <w:sz w:val="22"/>
          <w:szCs w:val="22"/>
          <w:lang w:val="en-GB"/>
        </w:rPr>
        <w:t>ectors so far identified including</w:t>
      </w:r>
      <w:r w:rsidR="00DB3DF3" w:rsidRPr="006F0F22">
        <w:rPr>
          <w:sz w:val="22"/>
          <w:szCs w:val="22"/>
          <w:lang w:val="en-GB"/>
        </w:rPr>
        <w:t xml:space="preserve"> traditional f</w:t>
      </w:r>
      <w:r w:rsidR="00087D0D" w:rsidRPr="006F0F22">
        <w:rPr>
          <w:sz w:val="22"/>
          <w:szCs w:val="22"/>
          <w:lang w:val="en-GB"/>
        </w:rPr>
        <w:t xml:space="preserve">ishing, bee-keeping, ecotourism, </w:t>
      </w:r>
      <w:r w:rsidR="00DB3DF3" w:rsidRPr="006F0F22">
        <w:rPr>
          <w:sz w:val="22"/>
          <w:szCs w:val="22"/>
          <w:lang w:val="en-GB"/>
        </w:rPr>
        <w:t>the sustainable use of medicinal plants</w:t>
      </w:r>
      <w:r w:rsidR="00087D0D" w:rsidRPr="006F0F22">
        <w:rPr>
          <w:sz w:val="22"/>
          <w:szCs w:val="22"/>
          <w:lang w:val="en-GB"/>
        </w:rPr>
        <w:t>, and the leveraging of REDD revenues</w:t>
      </w:r>
      <w:r w:rsidR="00360BBA" w:rsidRPr="006F0F22">
        <w:rPr>
          <w:sz w:val="22"/>
          <w:szCs w:val="22"/>
          <w:lang w:val="en-GB"/>
        </w:rPr>
        <w:t xml:space="preserve"> expected to generate revenue for forest/biodiversity conservation and local communities</w:t>
      </w:r>
      <w:r w:rsidR="00DB3DF3" w:rsidRPr="006F0F22">
        <w:rPr>
          <w:sz w:val="22"/>
          <w:szCs w:val="22"/>
          <w:lang w:val="en-GB"/>
        </w:rPr>
        <w:t>.</w:t>
      </w:r>
      <w:r w:rsidR="00376BEA" w:rsidRPr="006F0F22">
        <w:rPr>
          <w:sz w:val="22"/>
          <w:szCs w:val="22"/>
          <w:lang w:val="en-GB"/>
        </w:rPr>
        <w:t xml:space="preserve"> </w:t>
      </w:r>
      <w:r w:rsidR="00DB3DF3" w:rsidRPr="006F0F22">
        <w:rPr>
          <w:sz w:val="22"/>
          <w:szCs w:val="22"/>
          <w:lang w:val="en-GB"/>
        </w:rPr>
        <w:t>These and other options will be further assessed during the project preparation phase.</w:t>
      </w:r>
    </w:p>
    <w:p w:rsidR="00360BBA" w:rsidRPr="006F0F22" w:rsidRDefault="00360BBA" w:rsidP="00360BBA">
      <w:pPr>
        <w:pStyle w:val="Footer"/>
        <w:tabs>
          <w:tab w:val="clear" w:pos="4320"/>
          <w:tab w:val="clear" w:pos="8640"/>
        </w:tabs>
        <w:ind w:left="0"/>
        <w:contextualSpacing/>
        <w:jc w:val="both"/>
        <w:rPr>
          <w:sz w:val="22"/>
          <w:szCs w:val="22"/>
          <w:lang w:val="en-GB"/>
        </w:rPr>
      </w:pPr>
    </w:p>
    <w:p w:rsidR="006F15A9" w:rsidRPr="006F0F22" w:rsidRDefault="006F15A9" w:rsidP="00A03B22">
      <w:pPr>
        <w:pStyle w:val="Heading5"/>
        <w:ind w:left="0"/>
      </w:pPr>
      <w:r w:rsidRPr="006F0F22">
        <w:t>Glob</w:t>
      </w:r>
      <w:r w:rsidR="00FE69AE" w:rsidRPr="006F0F22">
        <w:t>al environmental benefits</w:t>
      </w:r>
    </w:p>
    <w:p w:rsidR="00A03B22" w:rsidRPr="006F0F22" w:rsidRDefault="00A03B22" w:rsidP="00A03B22">
      <w:pPr>
        <w:pStyle w:val="Footer"/>
        <w:tabs>
          <w:tab w:val="left" w:pos="0"/>
          <w:tab w:val="left" w:pos="227"/>
          <w:tab w:val="left" w:pos="340"/>
          <w:tab w:val="left" w:pos="397"/>
          <w:tab w:val="left" w:pos="720"/>
        </w:tabs>
        <w:ind w:left="0"/>
        <w:contextualSpacing/>
        <w:jc w:val="both"/>
        <w:rPr>
          <w:lang w:val="en-GB"/>
        </w:rPr>
      </w:pPr>
    </w:p>
    <w:p w:rsidR="00664D19" w:rsidRPr="006F0F22" w:rsidRDefault="005D1375" w:rsidP="00A03B22">
      <w:pPr>
        <w:pStyle w:val="Footer"/>
        <w:numPr>
          <w:ilvl w:val="0"/>
          <w:numId w:val="24"/>
        </w:numPr>
        <w:tabs>
          <w:tab w:val="clear" w:pos="4320"/>
          <w:tab w:val="clear" w:pos="8640"/>
        </w:tabs>
        <w:ind w:left="0" w:firstLine="0"/>
        <w:contextualSpacing/>
        <w:jc w:val="both"/>
        <w:rPr>
          <w:sz w:val="22"/>
          <w:szCs w:val="22"/>
          <w:lang w:val="en-GB"/>
        </w:rPr>
      </w:pPr>
      <w:r w:rsidRPr="006F0F22">
        <w:rPr>
          <w:sz w:val="22"/>
          <w:szCs w:val="22"/>
          <w:lang w:val="en-GB"/>
        </w:rPr>
        <w:t>The project will generate important global biodiversity bene</w:t>
      </w:r>
      <w:r w:rsidR="00082789" w:rsidRPr="006F0F22">
        <w:rPr>
          <w:sz w:val="22"/>
          <w:szCs w:val="22"/>
          <w:lang w:val="en-GB"/>
        </w:rPr>
        <w:t>fits. It will contribute to the</w:t>
      </w:r>
      <w:r w:rsidRPr="006F0F22">
        <w:rPr>
          <w:sz w:val="22"/>
          <w:szCs w:val="22"/>
          <w:lang w:val="en-GB"/>
        </w:rPr>
        <w:t xml:space="preserve"> long te</w:t>
      </w:r>
      <w:r w:rsidR="0020425A" w:rsidRPr="006F0F22">
        <w:rPr>
          <w:sz w:val="22"/>
          <w:szCs w:val="22"/>
          <w:lang w:val="en-GB"/>
        </w:rPr>
        <w:t xml:space="preserve">rm financial sustainability of </w:t>
      </w:r>
      <w:r w:rsidRPr="006F0F22">
        <w:rPr>
          <w:sz w:val="22"/>
          <w:szCs w:val="22"/>
          <w:lang w:val="en-GB"/>
        </w:rPr>
        <w:t>855,972 ha of critical natural habitats via Guinea-Bissau’s national n</w:t>
      </w:r>
      <w:r w:rsidR="00EC6ABE" w:rsidRPr="006F0F22">
        <w:rPr>
          <w:sz w:val="22"/>
          <w:szCs w:val="22"/>
          <w:lang w:val="en-GB"/>
        </w:rPr>
        <w:t>etwork of PAs, covering some 24</w:t>
      </w:r>
      <w:r w:rsidRPr="006F0F22">
        <w:rPr>
          <w:sz w:val="22"/>
          <w:szCs w:val="22"/>
          <w:lang w:val="en-GB"/>
        </w:rPr>
        <w:t xml:space="preserve">% of the country. </w:t>
      </w:r>
      <w:r w:rsidR="00AC0EEF" w:rsidRPr="006F0F22">
        <w:rPr>
          <w:sz w:val="22"/>
          <w:szCs w:val="22"/>
          <w:lang w:val="en-GB"/>
        </w:rPr>
        <w:t>The extensive and highly productive mangrove ecosystems are critical contributors to the sub-region’s</w:t>
      </w:r>
      <w:r w:rsidR="00D2781A" w:rsidRPr="006F0F22">
        <w:rPr>
          <w:sz w:val="22"/>
          <w:szCs w:val="22"/>
          <w:lang w:val="en-GB"/>
        </w:rPr>
        <w:t xml:space="preserve"> marine productivity, supporting globally endangered and threatened species and a variety of migratory birds (see § 1</w:t>
      </w:r>
      <w:r w:rsidR="00E24F27" w:rsidRPr="006F0F22">
        <w:rPr>
          <w:sz w:val="22"/>
          <w:szCs w:val="22"/>
          <w:lang w:val="en-GB"/>
        </w:rPr>
        <w:t>&amp;2</w:t>
      </w:r>
      <w:r w:rsidR="00D2781A" w:rsidRPr="006F0F22">
        <w:rPr>
          <w:sz w:val="22"/>
          <w:szCs w:val="22"/>
          <w:lang w:val="en-GB"/>
        </w:rPr>
        <w:t xml:space="preserve">). The project pays special attention to the urgent </w:t>
      </w:r>
      <w:r w:rsidR="00C43DB8" w:rsidRPr="006F0F22">
        <w:rPr>
          <w:sz w:val="22"/>
          <w:szCs w:val="22"/>
          <w:lang w:val="en-GB"/>
        </w:rPr>
        <w:t xml:space="preserve">operationalisation </w:t>
      </w:r>
      <w:r w:rsidR="001A0258" w:rsidRPr="006F0F22">
        <w:rPr>
          <w:sz w:val="22"/>
          <w:szCs w:val="22"/>
          <w:lang w:val="en-GB"/>
        </w:rPr>
        <w:t xml:space="preserve">of </w:t>
      </w:r>
      <w:r w:rsidR="00C43DB8" w:rsidRPr="006F0F22">
        <w:rPr>
          <w:sz w:val="22"/>
          <w:szCs w:val="22"/>
          <w:lang w:val="en-GB"/>
        </w:rPr>
        <w:t xml:space="preserve">a critical PA containing </w:t>
      </w:r>
      <w:r w:rsidR="001A0258" w:rsidRPr="006F0F22">
        <w:rPr>
          <w:sz w:val="22"/>
          <w:szCs w:val="22"/>
          <w:lang w:val="en-GB"/>
        </w:rPr>
        <w:t xml:space="preserve">ecosystems such as </w:t>
      </w:r>
      <w:r w:rsidR="00364408" w:rsidRPr="006F0F22">
        <w:rPr>
          <w:sz w:val="22"/>
          <w:szCs w:val="22"/>
          <w:lang w:val="en-GB"/>
        </w:rPr>
        <w:t xml:space="preserve">woodland savannah, semi-dry tropical forest and </w:t>
      </w:r>
      <w:r w:rsidR="00C43DB8" w:rsidRPr="006F0F22">
        <w:rPr>
          <w:sz w:val="22"/>
          <w:szCs w:val="22"/>
          <w:lang w:val="en-GB"/>
        </w:rPr>
        <w:t xml:space="preserve">especially </w:t>
      </w:r>
      <w:r w:rsidR="00760608" w:rsidRPr="006F0F22">
        <w:rPr>
          <w:sz w:val="22"/>
          <w:szCs w:val="22"/>
          <w:lang w:val="en-GB"/>
        </w:rPr>
        <w:t>the critically endangered</w:t>
      </w:r>
      <w:r w:rsidR="00E24F27" w:rsidRPr="006F0F22">
        <w:rPr>
          <w:sz w:val="22"/>
          <w:szCs w:val="22"/>
          <w:lang w:val="en-GB"/>
        </w:rPr>
        <w:t xml:space="preserve"> primary </w:t>
      </w:r>
      <w:r w:rsidR="00760608" w:rsidRPr="006F0F22">
        <w:rPr>
          <w:sz w:val="22"/>
          <w:szCs w:val="22"/>
          <w:lang w:val="en-GB"/>
        </w:rPr>
        <w:t xml:space="preserve">tall </w:t>
      </w:r>
      <w:r w:rsidR="00364408" w:rsidRPr="006F0F22">
        <w:rPr>
          <w:sz w:val="22"/>
          <w:szCs w:val="22"/>
          <w:lang w:val="en-GB"/>
        </w:rPr>
        <w:t>sub-humid tropical forest</w:t>
      </w:r>
      <w:r w:rsidR="00760608" w:rsidRPr="006F0F22">
        <w:rPr>
          <w:sz w:val="22"/>
          <w:szCs w:val="22"/>
          <w:lang w:val="en-GB"/>
        </w:rPr>
        <w:t>s</w:t>
      </w:r>
      <w:r w:rsidR="00D2781A" w:rsidRPr="006F0F22">
        <w:rPr>
          <w:sz w:val="22"/>
          <w:szCs w:val="22"/>
          <w:lang w:val="en-GB"/>
        </w:rPr>
        <w:t>.</w:t>
      </w:r>
      <w:r w:rsidR="00364408" w:rsidRPr="006F0F22">
        <w:rPr>
          <w:sz w:val="22"/>
          <w:szCs w:val="22"/>
          <w:lang w:val="en-GB"/>
        </w:rPr>
        <w:t xml:space="preserve"> These ecosystems contain threatened and endangered species </w:t>
      </w:r>
      <w:r w:rsidR="00D52955" w:rsidRPr="006F0F22">
        <w:rPr>
          <w:sz w:val="22"/>
          <w:szCs w:val="22"/>
          <w:lang w:val="en-GB"/>
        </w:rPr>
        <w:t xml:space="preserve">of global importance </w:t>
      </w:r>
      <w:r w:rsidR="00364408" w:rsidRPr="006F0F22">
        <w:rPr>
          <w:sz w:val="22"/>
          <w:szCs w:val="22"/>
          <w:lang w:val="en-GB"/>
        </w:rPr>
        <w:t xml:space="preserve">typical of </w:t>
      </w:r>
      <w:r w:rsidR="0019660B" w:rsidRPr="006F0F22">
        <w:rPr>
          <w:sz w:val="22"/>
          <w:szCs w:val="22"/>
          <w:lang w:val="en-GB"/>
        </w:rPr>
        <w:t xml:space="preserve">the Guinea Savannah Forest Mosaic </w:t>
      </w:r>
      <w:r w:rsidR="00364408" w:rsidRPr="006F0F22">
        <w:rPr>
          <w:sz w:val="22"/>
          <w:szCs w:val="22"/>
          <w:lang w:val="en-GB"/>
        </w:rPr>
        <w:t xml:space="preserve">and play a critical role as biological </w:t>
      </w:r>
      <w:r w:rsidR="000863F2" w:rsidRPr="006F0F22">
        <w:rPr>
          <w:sz w:val="22"/>
          <w:szCs w:val="22"/>
          <w:lang w:val="en-GB"/>
        </w:rPr>
        <w:t>corridors and migration routes for large mammals. Other global environmental benefits will derive</w:t>
      </w:r>
      <w:r w:rsidRPr="006F0F22">
        <w:rPr>
          <w:sz w:val="22"/>
          <w:szCs w:val="22"/>
          <w:lang w:val="en-GB"/>
        </w:rPr>
        <w:t xml:space="preserve"> </w:t>
      </w:r>
      <w:r w:rsidR="003F6017" w:rsidRPr="006F0F22">
        <w:rPr>
          <w:sz w:val="22"/>
          <w:szCs w:val="22"/>
          <w:lang w:val="en-GB"/>
        </w:rPr>
        <w:t xml:space="preserve">from </w:t>
      </w:r>
      <w:r w:rsidR="00042D17" w:rsidRPr="006F0F22">
        <w:rPr>
          <w:sz w:val="22"/>
          <w:szCs w:val="22"/>
          <w:lang w:val="en-GB"/>
        </w:rPr>
        <w:t xml:space="preserve">achieving </w:t>
      </w:r>
      <w:r w:rsidR="00D2781A" w:rsidRPr="006F0F22">
        <w:rPr>
          <w:sz w:val="22"/>
          <w:szCs w:val="22"/>
          <w:lang w:val="en-GB"/>
        </w:rPr>
        <w:t>strengthened management capacity coupled with financial sustainability at PA system level.</w:t>
      </w:r>
    </w:p>
    <w:p w:rsidR="00760608" w:rsidRPr="006F0F22" w:rsidRDefault="00760608" w:rsidP="00A03B22">
      <w:pPr>
        <w:pStyle w:val="Heading5"/>
        <w:ind w:left="0"/>
        <w:rPr>
          <w:color w:val="92D050"/>
        </w:rPr>
      </w:pPr>
    </w:p>
    <w:p w:rsidR="006F15A9" w:rsidRPr="006F0F22" w:rsidRDefault="00B67325" w:rsidP="00A03B22">
      <w:pPr>
        <w:pStyle w:val="Heading5"/>
        <w:ind w:left="0"/>
      </w:pPr>
      <w:r w:rsidRPr="006F0F22">
        <w:t>Innovativeness</w:t>
      </w:r>
      <w:r w:rsidR="006F15A9" w:rsidRPr="006F0F22">
        <w:t>, sustainabili</w:t>
      </w:r>
      <w:r w:rsidR="004C43C1" w:rsidRPr="006F0F22">
        <w:t>ty and potential for scaling up</w:t>
      </w:r>
    </w:p>
    <w:p w:rsidR="00C93176" w:rsidRPr="006F0F22" w:rsidRDefault="00C93176" w:rsidP="008114E2">
      <w:pPr>
        <w:pStyle w:val="Footer"/>
        <w:tabs>
          <w:tab w:val="left" w:pos="0"/>
          <w:tab w:val="left" w:pos="227"/>
          <w:tab w:val="left" w:pos="340"/>
          <w:tab w:val="left" w:pos="397"/>
          <w:tab w:val="left" w:pos="720"/>
        </w:tabs>
        <w:ind w:left="0"/>
        <w:contextualSpacing/>
        <w:jc w:val="both"/>
        <w:rPr>
          <w:sz w:val="22"/>
          <w:szCs w:val="22"/>
          <w:lang w:val="en-GB"/>
        </w:rPr>
      </w:pPr>
    </w:p>
    <w:p w:rsidR="0098031A" w:rsidRPr="006F0F22" w:rsidRDefault="007A7F3E" w:rsidP="008114E2">
      <w:pPr>
        <w:pStyle w:val="Footer"/>
        <w:numPr>
          <w:ilvl w:val="0"/>
          <w:numId w:val="24"/>
        </w:numPr>
        <w:tabs>
          <w:tab w:val="clear" w:pos="4320"/>
          <w:tab w:val="clear" w:pos="8640"/>
        </w:tabs>
        <w:ind w:left="0" w:firstLine="0"/>
        <w:contextualSpacing/>
        <w:jc w:val="both"/>
        <w:rPr>
          <w:sz w:val="22"/>
          <w:szCs w:val="22"/>
          <w:lang w:val="en-GB"/>
        </w:rPr>
      </w:pPr>
      <w:r w:rsidRPr="006F0F22">
        <w:rPr>
          <w:sz w:val="22"/>
          <w:szCs w:val="22"/>
          <w:lang w:val="en-GB"/>
        </w:rPr>
        <w:t xml:space="preserve">The project demonstrates for the first time in </w:t>
      </w:r>
      <w:r w:rsidR="00F71D3E" w:rsidRPr="006F0F22">
        <w:rPr>
          <w:sz w:val="22"/>
          <w:szCs w:val="22"/>
          <w:lang w:val="en-GB"/>
        </w:rPr>
        <w:t>Guinea-Bissau</w:t>
      </w:r>
      <w:r w:rsidRPr="006F0F22">
        <w:rPr>
          <w:sz w:val="22"/>
          <w:szCs w:val="22"/>
          <w:lang w:val="en-GB"/>
        </w:rPr>
        <w:t xml:space="preserve"> the implementation of sustainable PA financing and its application to the under</w:t>
      </w:r>
      <w:r w:rsidR="004C43C1" w:rsidRPr="006F0F22">
        <w:rPr>
          <w:sz w:val="22"/>
          <w:szCs w:val="22"/>
          <w:lang w:val="en-GB"/>
        </w:rPr>
        <w:t>-</w:t>
      </w:r>
      <w:r w:rsidRPr="006F0F22">
        <w:rPr>
          <w:sz w:val="22"/>
          <w:szCs w:val="22"/>
          <w:lang w:val="en-GB"/>
        </w:rPr>
        <w:t xml:space="preserve">represented terrestrial portion of the national </w:t>
      </w:r>
      <w:r w:rsidR="00DB1D71" w:rsidRPr="006F0F22">
        <w:rPr>
          <w:sz w:val="22"/>
          <w:szCs w:val="22"/>
          <w:lang w:val="en-GB"/>
        </w:rPr>
        <w:t xml:space="preserve">network of </w:t>
      </w:r>
      <w:r w:rsidRPr="006F0F22">
        <w:rPr>
          <w:sz w:val="22"/>
          <w:szCs w:val="22"/>
          <w:lang w:val="en-GB"/>
        </w:rPr>
        <w:t>PA</w:t>
      </w:r>
      <w:r w:rsidR="00DB1D71" w:rsidRPr="006F0F22">
        <w:rPr>
          <w:sz w:val="22"/>
          <w:szCs w:val="22"/>
          <w:lang w:val="en-GB"/>
        </w:rPr>
        <w:t>s</w:t>
      </w:r>
      <w:r w:rsidRPr="006F0F22">
        <w:rPr>
          <w:sz w:val="22"/>
          <w:szCs w:val="22"/>
          <w:lang w:val="en-GB"/>
        </w:rPr>
        <w:t>.</w:t>
      </w:r>
      <w:r w:rsidR="008B0DDF" w:rsidRPr="006F0F22">
        <w:rPr>
          <w:sz w:val="22"/>
          <w:szCs w:val="22"/>
          <w:lang w:val="en-GB"/>
        </w:rPr>
        <w:t xml:space="preserve"> </w:t>
      </w:r>
      <w:r w:rsidR="00D2781A" w:rsidRPr="006F0F22">
        <w:rPr>
          <w:sz w:val="22"/>
          <w:szCs w:val="22"/>
          <w:lang w:val="en-GB"/>
        </w:rPr>
        <w:t xml:space="preserve">The project’s strategic approach builds on the results from prior interventions in </w:t>
      </w:r>
      <w:r w:rsidR="008B0DDF" w:rsidRPr="006F0F22">
        <w:rPr>
          <w:sz w:val="22"/>
          <w:szCs w:val="22"/>
          <w:lang w:val="en-GB"/>
        </w:rPr>
        <w:t>the country</w:t>
      </w:r>
      <w:r w:rsidR="00D2781A" w:rsidRPr="006F0F22">
        <w:rPr>
          <w:sz w:val="22"/>
          <w:szCs w:val="22"/>
          <w:lang w:val="en-GB"/>
        </w:rPr>
        <w:t xml:space="preserve"> by strengthening the institutional framework and sustainable funding mechanism previously developed for the national PA system. The management capacity of </w:t>
      </w:r>
      <w:r w:rsidR="004C43C1" w:rsidRPr="006F0F22">
        <w:rPr>
          <w:sz w:val="22"/>
          <w:szCs w:val="22"/>
          <w:lang w:val="en-GB"/>
        </w:rPr>
        <w:t xml:space="preserve">IBAP PA staff </w:t>
      </w:r>
      <w:r w:rsidR="00D2781A" w:rsidRPr="006F0F22">
        <w:rPr>
          <w:sz w:val="22"/>
          <w:szCs w:val="22"/>
          <w:lang w:val="en-GB"/>
        </w:rPr>
        <w:t>will be reinforced, both at systemic and at site-level, to assist with the consolidation and management of terrestrial PAs, particularly in the Forest Belt region. The project will also support the BioGuinea Foundation (</w:t>
      </w:r>
      <w:r w:rsidR="008A4887" w:rsidRPr="006F0F22">
        <w:rPr>
          <w:sz w:val="22"/>
          <w:szCs w:val="22"/>
          <w:lang w:val="en-GB"/>
        </w:rPr>
        <w:t>FBG</w:t>
      </w:r>
      <w:r w:rsidR="00D2781A" w:rsidRPr="006F0F22">
        <w:rPr>
          <w:sz w:val="22"/>
          <w:szCs w:val="22"/>
          <w:lang w:val="en-GB"/>
        </w:rPr>
        <w:t xml:space="preserve">), by engineering its initial capitalisation and setting in motion a process which </w:t>
      </w:r>
      <w:r w:rsidR="00D2781A" w:rsidRPr="006F0F22">
        <w:rPr>
          <w:bCs/>
          <w:sz w:val="22"/>
          <w:szCs w:val="22"/>
          <w:lang w:val="en-GB"/>
        </w:rPr>
        <w:t>secures over the long term the stable and sustainable financing for the maintenance of the national PA system and the biodiversity it supports.</w:t>
      </w:r>
    </w:p>
    <w:p w:rsidR="0098031A" w:rsidRPr="006F0F22" w:rsidRDefault="0098031A" w:rsidP="0098031A">
      <w:pPr>
        <w:pStyle w:val="Footer"/>
        <w:tabs>
          <w:tab w:val="clear" w:pos="4320"/>
          <w:tab w:val="clear" w:pos="8640"/>
        </w:tabs>
        <w:ind w:left="0"/>
        <w:contextualSpacing/>
        <w:jc w:val="both"/>
        <w:rPr>
          <w:sz w:val="22"/>
          <w:szCs w:val="22"/>
          <w:lang w:val="en-GB"/>
        </w:rPr>
      </w:pPr>
    </w:p>
    <w:p w:rsidR="00E24F27" w:rsidRPr="006F0F22" w:rsidRDefault="00D2781A" w:rsidP="00512BC8">
      <w:pPr>
        <w:pStyle w:val="Footer"/>
        <w:numPr>
          <w:ilvl w:val="0"/>
          <w:numId w:val="24"/>
        </w:numPr>
        <w:tabs>
          <w:tab w:val="clear" w:pos="4320"/>
          <w:tab w:val="clear" w:pos="8640"/>
        </w:tabs>
        <w:ind w:left="0" w:firstLine="0"/>
        <w:contextualSpacing/>
        <w:jc w:val="both"/>
        <w:rPr>
          <w:sz w:val="22"/>
          <w:szCs w:val="22"/>
          <w:lang w:val="en-GB"/>
        </w:rPr>
      </w:pPr>
      <w:r w:rsidRPr="006F0F22">
        <w:rPr>
          <w:sz w:val="22"/>
          <w:szCs w:val="22"/>
          <w:lang w:val="en-GB"/>
        </w:rPr>
        <w:t xml:space="preserve">Future biodiversity conservation interventions in Guinea-Bissau </w:t>
      </w:r>
      <w:r w:rsidR="0020425A" w:rsidRPr="006F0F22">
        <w:rPr>
          <w:sz w:val="22"/>
          <w:szCs w:val="22"/>
          <w:lang w:val="en-GB"/>
        </w:rPr>
        <w:t xml:space="preserve">will </w:t>
      </w:r>
      <w:r w:rsidRPr="006F0F22">
        <w:rPr>
          <w:sz w:val="22"/>
          <w:szCs w:val="22"/>
          <w:lang w:val="en-GB"/>
        </w:rPr>
        <w:t xml:space="preserve">be enabled </w:t>
      </w:r>
      <w:r w:rsidR="00CC60FD" w:rsidRPr="006F0F22">
        <w:rPr>
          <w:sz w:val="22"/>
          <w:szCs w:val="22"/>
          <w:lang w:val="en-GB"/>
        </w:rPr>
        <w:t xml:space="preserve">and encouraged </w:t>
      </w:r>
      <w:r w:rsidRPr="006F0F22">
        <w:rPr>
          <w:sz w:val="22"/>
          <w:szCs w:val="22"/>
          <w:lang w:val="en-GB"/>
        </w:rPr>
        <w:t xml:space="preserve">to set aside resources </w:t>
      </w:r>
      <w:r w:rsidR="008B0DDF" w:rsidRPr="006F0F22">
        <w:rPr>
          <w:sz w:val="22"/>
          <w:szCs w:val="22"/>
          <w:lang w:val="en-GB"/>
        </w:rPr>
        <w:t>to</w:t>
      </w:r>
      <w:r w:rsidR="00082789" w:rsidRPr="006F0F22">
        <w:rPr>
          <w:sz w:val="22"/>
          <w:szCs w:val="22"/>
          <w:lang w:val="en-GB"/>
        </w:rPr>
        <w:t xml:space="preserve"> </w:t>
      </w:r>
      <w:r w:rsidR="00CC60FD" w:rsidRPr="006F0F22">
        <w:rPr>
          <w:sz w:val="22"/>
          <w:szCs w:val="22"/>
          <w:lang w:val="en-GB"/>
        </w:rPr>
        <w:t xml:space="preserve">be injected into </w:t>
      </w:r>
      <w:r w:rsidR="0020425A" w:rsidRPr="006F0F22">
        <w:rPr>
          <w:sz w:val="22"/>
          <w:szCs w:val="22"/>
          <w:lang w:val="en-GB"/>
        </w:rPr>
        <w:t xml:space="preserve">IBAP and especially </w:t>
      </w:r>
      <w:r w:rsidRPr="006F0F22">
        <w:rPr>
          <w:sz w:val="22"/>
          <w:szCs w:val="22"/>
          <w:lang w:val="en-GB"/>
        </w:rPr>
        <w:t xml:space="preserve">the </w:t>
      </w:r>
      <w:r w:rsidR="008A4887" w:rsidRPr="006F0F22">
        <w:rPr>
          <w:sz w:val="22"/>
          <w:szCs w:val="22"/>
          <w:lang w:val="en-GB"/>
        </w:rPr>
        <w:t>FBG</w:t>
      </w:r>
      <w:r w:rsidR="00CC60FD" w:rsidRPr="006F0F22">
        <w:rPr>
          <w:sz w:val="22"/>
          <w:szCs w:val="22"/>
          <w:lang w:val="en-GB"/>
        </w:rPr>
        <w:t xml:space="preserve"> </w:t>
      </w:r>
      <w:r w:rsidR="000E1E56" w:rsidRPr="006F0F22">
        <w:rPr>
          <w:sz w:val="22"/>
          <w:szCs w:val="22"/>
          <w:lang w:val="en-GB"/>
        </w:rPr>
        <w:t>activated</w:t>
      </w:r>
      <w:r w:rsidR="00082789" w:rsidRPr="006F0F22">
        <w:rPr>
          <w:sz w:val="22"/>
          <w:szCs w:val="22"/>
          <w:lang w:val="en-GB"/>
        </w:rPr>
        <w:t xml:space="preserve"> thro</w:t>
      </w:r>
      <w:r w:rsidR="008B0DDF" w:rsidRPr="006F0F22">
        <w:rPr>
          <w:sz w:val="22"/>
          <w:szCs w:val="22"/>
          <w:lang w:val="en-GB"/>
        </w:rPr>
        <w:t>ugh this project</w:t>
      </w:r>
      <w:r w:rsidR="00207EBB" w:rsidRPr="006F0F22">
        <w:rPr>
          <w:sz w:val="22"/>
          <w:szCs w:val="22"/>
          <w:lang w:val="en-GB"/>
        </w:rPr>
        <w:t>.</w:t>
      </w:r>
      <w:r w:rsidR="00CC60FD" w:rsidRPr="006F0F22">
        <w:rPr>
          <w:sz w:val="22"/>
          <w:szCs w:val="22"/>
          <w:lang w:val="en-GB"/>
        </w:rPr>
        <w:t xml:space="preserve"> T</w:t>
      </w:r>
      <w:r w:rsidR="00176114" w:rsidRPr="006F0F22">
        <w:rPr>
          <w:sz w:val="22"/>
          <w:szCs w:val="22"/>
          <w:lang w:val="en-GB"/>
        </w:rPr>
        <w:t xml:space="preserve">he financial sustainability </w:t>
      </w:r>
      <w:r w:rsidR="00CC60FD" w:rsidRPr="006F0F22">
        <w:rPr>
          <w:sz w:val="22"/>
          <w:szCs w:val="22"/>
          <w:lang w:val="en-GB"/>
        </w:rPr>
        <w:t xml:space="preserve">of the innovations and achievements delivered by </w:t>
      </w:r>
      <w:r w:rsidR="00176114" w:rsidRPr="006F0F22">
        <w:rPr>
          <w:sz w:val="22"/>
          <w:szCs w:val="22"/>
          <w:lang w:val="en-GB"/>
        </w:rPr>
        <w:t xml:space="preserve">such interventions would </w:t>
      </w:r>
      <w:r w:rsidR="00CC60FD" w:rsidRPr="006F0F22">
        <w:rPr>
          <w:sz w:val="22"/>
          <w:szCs w:val="22"/>
          <w:lang w:val="en-GB"/>
        </w:rPr>
        <w:t xml:space="preserve">be ensured from the onset. The long-term dividends from biodiversity conservation interventions </w:t>
      </w:r>
      <w:r w:rsidR="000E1E56" w:rsidRPr="006F0F22">
        <w:rPr>
          <w:sz w:val="22"/>
          <w:szCs w:val="22"/>
          <w:lang w:val="en-GB"/>
        </w:rPr>
        <w:t xml:space="preserve">in Guinea-Bissau </w:t>
      </w:r>
      <w:r w:rsidR="00CC60FD" w:rsidRPr="006F0F22">
        <w:rPr>
          <w:sz w:val="22"/>
          <w:szCs w:val="22"/>
          <w:lang w:val="en-GB"/>
        </w:rPr>
        <w:t xml:space="preserve">would be strengthened and </w:t>
      </w:r>
      <w:r w:rsidR="000E1E56" w:rsidRPr="006F0F22">
        <w:rPr>
          <w:sz w:val="22"/>
          <w:szCs w:val="22"/>
          <w:lang w:val="en-GB"/>
        </w:rPr>
        <w:t xml:space="preserve">by engendering a potentially virtuous cycle, </w:t>
      </w:r>
      <w:r w:rsidR="00CC60FD" w:rsidRPr="006F0F22">
        <w:rPr>
          <w:sz w:val="22"/>
          <w:szCs w:val="22"/>
          <w:lang w:val="en-GB"/>
        </w:rPr>
        <w:t xml:space="preserve">the </w:t>
      </w:r>
      <w:r w:rsidR="00176114" w:rsidRPr="006F0F22">
        <w:rPr>
          <w:sz w:val="22"/>
          <w:szCs w:val="22"/>
          <w:lang w:val="en-GB"/>
        </w:rPr>
        <w:t>possibility for their further up-scaling impr</w:t>
      </w:r>
      <w:r w:rsidR="000E1E56" w:rsidRPr="006F0F22">
        <w:rPr>
          <w:sz w:val="22"/>
          <w:szCs w:val="22"/>
          <w:lang w:val="en-GB"/>
        </w:rPr>
        <w:t>oved accordingly.</w:t>
      </w:r>
      <w:r w:rsidR="00512BC8" w:rsidRPr="006F0F22">
        <w:rPr>
          <w:sz w:val="22"/>
          <w:szCs w:val="22"/>
          <w:lang w:val="en-GB"/>
        </w:rPr>
        <w:t xml:space="preserve"> </w:t>
      </w:r>
      <w:r w:rsidR="00E24F27" w:rsidRPr="006F0F22">
        <w:rPr>
          <w:sz w:val="22"/>
          <w:szCs w:val="22"/>
          <w:lang w:val="en-GB"/>
        </w:rPr>
        <w:t>This will represent a significant model for the rest of the sub-region of what long term and internationally collaborative efforts can achieve through coordinated planning and investment and as a basis for advocating the replication of the project approach beyond Guinea-Bissau.</w:t>
      </w:r>
    </w:p>
    <w:p w:rsidR="00CB55C4" w:rsidRPr="006F0F22" w:rsidRDefault="00CB55C4" w:rsidP="00CB55C4">
      <w:pPr>
        <w:pStyle w:val="Footer"/>
        <w:tabs>
          <w:tab w:val="clear" w:pos="4320"/>
          <w:tab w:val="clear" w:pos="8640"/>
        </w:tabs>
        <w:ind w:left="0"/>
        <w:contextualSpacing/>
        <w:jc w:val="both"/>
        <w:rPr>
          <w:sz w:val="22"/>
          <w:szCs w:val="22"/>
          <w:lang w:val="en-GB"/>
        </w:rPr>
      </w:pPr>
    </w:p>
    <w:p w:rsidR="00CC60FD" w:rsidRPr="006F0F22" w:rsidRDefault="00CB55C4" w:rsidP="008114E2">
      <w:pPr>
        <w:pStyle w:val="Footer"/>
        <w:numPr>
          <w:ilvl w:val="0"/>
          <w:numId w:val="24"/>
        </w:numPr>
        <w:tabs>
          <w:tab w:val="clear" w:pos="4320"/>
          <w:tab w:val="clear" w:pos="8640"/>
        </w:tabs>
        <w:ind w:left="0" w:firstLine="0"/>
        <w:contextualSpacing/>
        <w:jc w:val="both"/>
        <w:rPr>
          <w:sz w:val="22"/>
          <w:szCs w:val="22"/>
          <w:lang w:val="en-GB"/>
        </w:rPr>
      </w:pPr>
      <w:r w:rsidRPr="006F0F22">
        <w:rPr>
          <w:sz w:val="22"/>
          <w:szCs w:val="22"/>
          <w:lang w:val="en-GB"/>
        </w:rPr>
        <w:t>The project moreover</w:t>
      </w:r>
      <w:r w:rsidR="000E1E56" w:rsidRPr="006F0F22">
        <w:rPr>
          <w:sz w:val="22"/>
          <w:szCs w:val="22"/>
          <w:lang w:val="en-GB"/>
        </w:rPr>
        <w:t xml:space="preserve"> </w:t>
      </w:r>
      <w:r w:rsidRPr="006F0F22">
        <w:rPr>
          <w:sz w:val="22"/>
          <w:szCs w:val="22"/>
          <w:lang w:val="en-GB"/>
        </w:rPr>
        <w:t xml:space="preserve">innovates where it will </w:t>
      </w:r>
      <w:r w:rsidR="007D0AAE" w:rsidRPr="006F0F22">
        <w:rPr>
          <w:sz w:val="22"/>
          <w:szCs w:val="22"/>
          <w:lang w:val="en-GB"/>
        </w:rPr>
        <w:t xml:space="preserve">install </w:t>
      </w:r>
      <w:r w:rsidRPr="006F0F22">
        <w:rPr>
          <w:sz w:val="22"/>
          <w:szCs w:val="22"/>
          <w:lang w:val="en-GB"/>
        </w:rPr>
        <w:t xml:space="preserve">better coordination as well as joint training </w:t>
      </w:r>
      <w:r w:rsidR="006F6863" w:rsidRPr="006F0F22">
        <w:rPr>
          <w:sz w:val="22"/>
          <w:szCs w:val="22"/>
          <w:lang w:val="en-GB"/>
        </w:rPr>
        <w:t xml:space="preserve">and vision-building </w:t>
      </w:r>
      <w:r w:rsidRPr="006F0F22">
        <w:rPr>
          <w:sz w:val="22"/>
          <w:szCs w:val="22"/>
          <w:lang w:val="en-GB"/>
        </w:rPr>
        <w:t xml:space="preserve">between IBAP and DGFF, </w:t>
      </w:r>
      <w:r w:rsidR="007D0AAE" w:rsidRPr="006F0F22">
        <w:rPr>
          <w:sz w:val="22"/>
          <w:szCs w:val="22"/>
          <w:lang w:val="en-GB"/>
        </w:rPr>
        <w:t>through t</w:t>
      </w:r>
      <w:r w:rsidR="00C74448" w:rsidRPr="006F0F22">
        <w:rPr>
          <w:sz w:val="22"/>
          <w:szCs w:val="22"/>
          <w:lang w:val="en-GB"/>
        </w:rPr>
        <w:t>he site-specific work in Canta</w:t>
      </w:r>
      <w:r w:rsidR="007D0AAE" w:rsidRPr="006F0F22">
        <w:rPr>
          <w:sz w:val="22"/>
          <w:szCs w:val="22"/>
          <w:lang w:val="en-GB"/>
        </w:rPr>
        <w:t>n</w:t>
      </w:r>
      <w:r w:rsidR="00C74448" w:rsidRPr="006F0F22">
        <w:rPr>
          <w:sz w:val="22"/>
          <w:szCs w:val="22"/>
          <w:lang w:val="en-GB"/>
        </w:rPr>
        <w:t>h</w:t>
      </w:r>
      <w:r w:rsidR="007D0AAE" w:rsidRPr="006F0F22">
        <w:rPr>
          <w:sz w:val="22"/>
          <w:szCs w:val="22"/>
          <w:lang w:val="en-GB"/>
        </w:rPr>
        <w:t xml:space="preserve">ez NP and adjacent areas. This pilot is meant </w:t>
      </w:r>
      <w:r w:rsidR="006F6863" w:rsidRPr="006F0F22">
        <w:rPr>
          <w:sz w:val="22"/>
          <w:szCs w:val="22"/>
          <w:lang w:val="en-GB"/>
        </w:rPr>
        <w:t xml:space="preserve">to </w:t>
      </w:r>
      <w:r w:rsidR="00C74448" w:rsidRPr="006F0F22">
        <w:rPr>
          <w:sz w:val="22"/>
          <w:szCs w:val="22"/>
          <w:lang w:val="en-GB"/>
        </w:rPr>
        <w:t>locally reduce the pressures on the PA</w:t>
      </w:r>
      <w:r w:rsidR="006F6863" w:rsidRPr="006F0F22">
        <w:rPr>
          <w:sz w:val="22"/>
          <w:szCs w:val="22"/>
          <w:lang w:val="en-GB"/>
        </w:rPr>
        <w:t>,</w:t>
      </w:r>
      <w:r w:rsidR="00C74448" w:rsidRPr="006F0F22">
        <w:rPr>
          <w:sz w:val="22"/>
          <w:szCs w:val="22"/>
          <w:lang w:val="en-GB"/>
        </w:rPr>
        <w:t xml:space="preserve"> enhance cost efficiency of PA management</w:t>
      </w:r>
      <w:r w:rsidR="006F6863" w:rsidRPr="006F0F22">
        <w:rPr>
          <w:sz w:val="22"/>
          <w:szCs w:val="22"/>
          <w:lang w:val="en-GB"/>
        </w:rPr>
        <w:t xml:space="preserve"> and </w:t>
      </w:r>
      <w:r w:rsidR="00C74448" w:rsidRPr="006F0F22">
        <w:rPr>
          <w:sz w:val="22"/>
          <w:szCs w:val="22"/>
          <w:lang w:val="en-GB"/>
        </w:rPr>
        <w:t xml:space="preserve">more generally </w:t>
      </w:r>
      <w:r w:rsidR="006F6863" w:rsidRPr="006F0F22">
        <w:rPr>
          <w:sz w:val="22"/>
          <w:szCs w:val="22"/>
          <w:lang w:val="en-GB"/>
        </w:rPr>
        <w:t xml:space="preserve">trigger </w:t>
      </w:r>
      <w:r w:rsidR="007D0AAE" w:rsidRPr="006F0F22">
        <w:rPr>
          <w:sz w:val="22"/>
          <w:szCs w:val="22"/>
          <w:lang w:val="en-GB"/>
        </w:rPr>
        <w:t xml:space="preserve">a better conservation </w:t>
      </w:r>
      <w:r w:rsidR="00C74448" w:rsidRPr="006F0F22">
        <w:rPr>
          <w:sz w:val="22"/>
          <w:szCs w:val="22"/>
          <w:lang w:val="en-GB"/>
        </w:rPr>
        <w:t>of forest biodiversi</w:t>
      </w:r>
      <w:r w:rsidR="007D0AAE" w:rsidRPr="006F0F22">
        <w:rPr>
          <w:sz w:val="22"/>
          <w:szCs w:val="22"/>
          <w:lang w:val="en-GB"/>
        </w:rPr>
        <w:t xml:space="preserve">ty </w:t>
      </w:r>
      <w:r w:rsidR="006F6863" w:rsidRPr="006F0F22">
        <w:rPr>
          <w:sz w:val="22"/>
          <w:szCs w:val="22"/>
          <w:lang w:val="en-GB"/>
        </w:rPr>
        <w:t xml:space="preserve">in the target area to be replicated </w:t>
      </w:r>
      <w:r w:rsidR="007D0AAE" w:rsidRPr="006F0F22">
        <w:rPr>
          <w:sz w:val="22"/>
          <w:szCs w:val="22"/>
          <w:lang w:val="en-GB"/>
        </w:rPr>
        <w:t>across Guinea Bissau</w:t>
      </w:r>
      <w:r w:rsidR="006F6863" w:rsidRPr="006F0F22">
        <w:rPr>
          <w:sz w:val="22"/>
          <w:szCs w:val="22"/>
          <w:lang w:val="en-GB"/>
        </w:rPr>
        <w:t>.</w:t>
      </w:r>
      <w:r w:rsidR="007D0AAE" w:rsidRPr="006F0F22">
        <w:rPr>
          <w:sz w:val="22"/>
          <w:szCs w:val="22"/>
          <w:lang w:val="en-GB"/>
        </w:rPr>
        <w:t xml:space="preserve"> </w:t>
      </w:r>
    </w:p>
    <w:p w:rsidR="004202DC" w:rsidRPr="006F0F22" w:rsidRDefault="004202DC" w:rsidP="008114E2">
      <w:pPr>
        <w:pStyle w:val="Heading4"/>
        <w:ind w:left="0"/>
        <w:rPr>
          <w:u w:val="single"/>
        </w:rPr>
      </w:pPr>
    </w:p>
    <w:p w:rsidR="008114E2" w:rsidRPr="006F0F22" w:rsidRDefault="00AE3E19" w:rsidP="008114E2">
      <w:pPr>
        <w:pStyle w:val="Heading4"/>
        <w:ind w:left="0"/>
        <w:rPr>
          <w:u w:val="single"/>
        </w:rPr>
      </w:pPr>
      <w:r w:rsidRPr="006F0F22">
        <w:rPr>
          <w:u w:val="single"/>
        </w:rPr>
        <w:t>A.2. Stakeholder</w:t>
      </w:r>
      <w:r w:rsidR="00B10F2D" w:rsidRPr="006F0F22">
        <w:rPr>
          <w:u w:val="single"/>
        </w:rPr>
        <w:t xml:space="preserve"> Engagement</w:t>
      </w:r>
    </w:p>
    <w:p w:rsidR="00AE3E19" w:rsidRPr="006F0F22" w:rsidRDefault="00FE38EB" w:rsidP="008114E2">
      <w:pPr>
        <w:pStyle w:val="Heading4"/>
        <w:ind w:left="0"/>
      </w:pPr>
      <w:r w:rsidRPr="006F0F22">
        <w:t xml:space="preserve"> </w:t>
      </w:r>
    </w:p>
    <w:tbl>
      <w:tblPr>
        <w:tblStyle w:val="TableGrid"/>
        <w:tblW w:w="0" w:type="auto"/>
        <w:tblInd w:w="108" w:type="dxa"/>
        <w:tblLook w:val="04A0" w:firstRow="1" w:lastRow="0" w:firstColumn="1" w:lastColumn="0" w:noHBand="0" w:noVBand="1"/>
      </w:tblPr>
      <w:tblGrid>
        <w:gridCol w:w="2089"/>
        <w:gridCol w:w="8968"/>
      </w:tblGrid>
      <w:tr w:rsidR="00AE3E19" w:rsidRPr="006F0F22" w:rsidTr="008114E2">
        <w:trPr>
          <w:tblHeader/>
        </w:trPr>
        <w:tc>
          <w:tcPr>
            <w:tcW w:w="2089" w:type="dxa"/>
            <w:shd w:val="clear" w:color="auto" w:fill="BFBFBF" w:themeFill="background1" w:themeFillShade="BF"/>
          </w:tcPr>
          <w:p w:rsidR="00AE3E19" w:rsidRPr="006F0F22" w:rsidRDefault="00AE3E19" w:rsidP="00C626B1">
            <w:pPr>
              <w:spacing w:before="60" w:after="60" w:line="220" w:lineRule="atLeast"/>
              <w:ind w:left="0"/>
              <w:contextualSpacing/>
              <w:rPr>
                <w:b/>
                <w:sz w:val="20"/>
                <w:szCs w:val="20"/>
                <w:lang w:val="en-GB"/>
              </w:rPr>
            </w:pPr>
            <w:r w:rsidRPr="006F0F22">
              <w:rPr>
                <w:b/>
                <w:sz w:val="20"/>
                <w:szCs w:val="20"/>
                <w:lang w:val="en-GB"/>
              </w:rPr>
              <w:t>Stakeholder</w:t>
            </w:r>
          </w:p>
        </w:tc>
        <w:tc>
          <w:tcPr>
            <w:tcW w:w="8968" w:type="dxa"/>
            <w:shd w:val="clear" w:color="auto" w:fill="BFBFBF" w:themeFill="background1" w:themeFillShade="BF"/>
          </w:tcPr>
          <w:p w:rsidR="00AE3E19" w:rsidRPr="006F0F22" w:rsidRDefault="00AE3E19" w:rsidP="00C626B1">
            <w:pPr>
              <w:spacing w:before="60" w:after="60" w:line="220" w:lineRule="atLeast"/>
              <w:ind w:left="0"/>
              <w:contextualSpacing/>
              <w:rPr>
                <w:b/>
                <w:sz w:val="20"/>
                <w:szCs w:val="20"/>
                <w:lang w:val="en-GB"/>
              </w:rPr>
            </w:pPr>
            <w:r w:rsidRPr="006F0F22">
              <w:rPr>
                <w:b/>
                <w:sz w:val="20"/>
                <w:szCs w:val="20"/>
                <w:lang w:val="en-GB"/>
              </w:rPr>
              <w:t>Indicative roles and responsibilities</w:t>
            </w:r>
          </w:p>
        </w:tc>
      </w:tr>
      <w:tr w:rsidR="00AE3E19" w:rsidRPr="006F0F22" w:rsidTr="008114E2">
        <w:tc>
          <w:tcPr>
            <w:tcW w:w="2089" w:type="dxa"/>
          </w:tcPr>
          <w:p w:rsidR="00AE3E19" w:rsidRPr="006F0F22" w:rsidRDefault="00AE3E19" w:rsidP="00620E34">
            <w:pPr>
              <w:ind w:left="0"/>
              <w:rPr>
                <w:sz w:val="20"/>
                <w:szCs w:val="20"/>
                <w:lang w:val="en-GB"/>
              </w:rPr>
            </w:pPr>
            <w:r w:rsidRPr="006F0F22">
              <w:rPr>
                <w:sz w:val="20"/>
                <w:szCs w:val="20"/>
                <w:lang w:val="en-GB"/>
              </w:rPr>
              <w:t>Institute for Biodiversity and Protected Areas in Guinea-Bissau (IBAP)</w:t>
            </w:r>
          </w:p>
        </w:tc>
        <w:tc>
          <w:tcPr>
            <w:tcW w:w="8968" w:type="dxa"/>
          </w:tcPr>
          <w:p w:rsidR="00B911AA" w:rsidRPr="006F0F22" w:rsidRDefault="00B1711D" w:rsidP="008B0DDF">
            <w:pPr>
              <w:tabs>
                <w:tab w:val="center" w:pos="4320"/>
                <w:tab w:val="right" w:pos="8640"/>
              </w:tabs>
              <w:ind w:left="0"/>
              <w:contextualSpacing/>
              <w:jc w:val="both"/>
              <w:rPr>
                <w:sz w:val="20"/>
                <w:szCs w:val="20"/>
                <w:lang w:val="en-GB"/>
              </w:rPr>
            </w:pPr>
            <w:r w:rsidRPr="006F0F22">
              <w:rPr>
                <w:sz w:val="20"/>
                <w:szCs w:val="20"/>
                <w:lang w:val="en-GB"/>
              </w:rPr>
              <w:t xml:space="preserve">IBAP will be the project’s lead executing agency. </w:t>
            </w:r>
            <w:r w:rsidR="00AE3E19" w:rsidRPr="006F0F22">
              <w:rPr>
                <w:sz w:val="20"/>
                <w:szCs w:val="20"/>
                <w:lang w:val="en-GB"/>
              </w:rPr>
              <w:t>IBAP is a semi-autonomous Government agency</w:t>
            </w:r>
            <w:r w:rsidR="00B911AA" w:rsidRPr="006F0F22">
              <w:rPr>
                <w:sz w:val="20"/>
                <w:szCs w:val="20"/>
                <w:lang w:val="en-GB"/>
              </w:rPr>
              <w:t xml:space="preserve"> with t</w:t>
            </w:r>
            <w:r w:rsidR="003A3D14" w:rsidRPr="006F0F22">
              <w:rPr>
                <w:sz w:val="20"/>
                <w:szCs w:val="20"/>
                <w:lang w:val="en-GB"/>
              </w:rPr>
              <w:t xml:space="preserve">he mandate </w:t>
            </w:r>
            <w:r w:rsidR="00AE3E19" w:rsidRPr="006F0F22">
              <w:rPr>
                <w:sz w:val="20"/>
                <w:szCs w:val="20"/>
                <w:lang w:val="en-GB"/>
              </w:rPr>
              <w:t xml:space="preserve">to manage </w:t>
            </w:r>
            <w:r w:rsidR="00B540D8" w:rsidRPr="006F0F22">
              <w:rPr>
                <w:sz w:val="20"/>
                <w:szCs w:val="20"/>
                <w:lang w:val="en-GB"/>
              </w:rPr>
              <w:t xml:space="preserve">biodiversity and </w:t>
            </w:r>
            <w:r w:rsidR="00AE3E19" w:rsidRPr="006F0F22">
              <w:rPr>
                <w:sz w:val="20"/>
                <w:szCs w:val="20"/>
                <w:lang w:val="en-GB"/>
              </w:rPr>
              <w:t xml:space="preserve">the national protected area network of </w:t>
            </w:r>
            <w:r w:rsidR="00F71D3E" w:rsidRPr="006F0F22">
              <w:rPr>
                <w:sz w:val="20"/>
                <w:szCs w:val="20"/>
                <w:lang w:val="en-GB"/>
              </w:rPr>
              <w:t>Guinea-Bissau</w:t>
            </w:r>
            <w:r w:rsidR="00AE3E19" w:rsidRPr="006F0F22">
              <w:rPr>
                <w:sz w:val="20"/>
                <w:szCs w:val="20"/>
                <w:lang w:val="en-GB"/>
              </w:rPr>
              <w:t>, as detailed in the recently revised Law on Protected Areas (Lei-Quadro des AP, Decree-Law No. 5a/2011).</w:t>
            </w:r>
            <w:r w:rsidR="00B911AA" w:rsidRPr="006F0F22">
              <w:rPr>
                <w:sz w:val="20"/>
                <w:szCs w:val="20"/>
                <w:lang w:val="en-GB"/>
              </w:rPr>
              <w:t xml:space="preserve"> </w:t>
            </w:r>
            <w:r w:rsidR="00207EBB" w:rsidRPr="006F0F22">
              <w:rPr>
                <w:sz w:val="20"/>
                <w:szCs w:val="20"/>
                <w:lang w:val="en-GB"/>
              </w:rPr>
              <w:t xml:space="preserve">As such, IBAP will be responsible for overseeing the implementation of project activities in accordance with </w:t>
            </w:r>
            <w:r w:rsidR="008B0DDF" w:rsidRPr="006F0F22">
              <w:rPr>
                <w:sz w:val="20"/>
                <w:szCs w:val="20"/>
                <w:lang w:val="en-GB"/>
              </w:rPr>
              <w:t xml:space="preserve">its </w:t>
            </w:r>
            <w:r w:rsidR="00207EBB" w:rsidRPr="006F0F22">
              <w:rPr>
                <w:sz w:val="20"/>
                <w:szCs w:val="20"/>
                <w:lang w:val="en-GB"/>
              </w:rPr>
              <w:t xml:space="preserve">work plan, procurement plan and agreed </w:t>
            </w:r>
            <w:r w:rsidR="006F54E4" w:rsidRPr="006F0F22">
              <w:rPr>
                <w:sz w:val="20"/>
                <w:szCs w:val="20"/>
                <w:lang w:val="en-GB"/>
              </w:rPr>
              <w:t>budget.</w:t>
            </w:r>
          </w:p>
        </w:tc>
      </w:tr>
      <w:tr w:rsidR="00CF119E" w:rsidRPr="006F0F22" w:rsidTr="008114E2">
        <w:tc>
          <w:tcPr>
            <w:tcW w:w="2089" w:type="dxa"/>
          </w:tcPr>
          <w:p w:rsidR="00CF119E" w:rsidRPr="006F0F22" w:rsidRDefault="00CF119E" w:rsidP="00793D64">
            <w:pPr>
              <w:ind w:left="0"/>
              <w:rPr>
                <w:sz w:val="20"/>
                <w:szCs w:val="20"/>
                <w:lang w:val="en-GB"/>
              </w:rPr>
            </w:pPr>
            <w:r w:rsidRPr="006F0F22">
              <w:rPr>
                <w:sz w:val="20"/>
                <w:szCs w:val="20"/>
                <w:lang w:val="en-GB"/>
              </w:rPr>
              <w:t>Directorate General for Forestry and Fauna (DGFF)</w:t>
            </w:r>
            <w:r w:rsidR="00620E34" w:rsidRPr="006F0F22">
              <w:rPr>
                <w:sz w:val="20"/>
                <w:szCs w:val="20"/>
                <w:lang w:val="en-GB"/>
              </w:rPr>
              <w:t xml:space="preserve"> of MADR</w:t>
            </w:r>
          </w:p>
        </w:tc>
        <w:tc>
          <w:tcPr>
            <w:tcW w:w="8968" w:type="dxa"/>
          </w:tcPr>
          <w:p w:rsidR="00CF119E" w:rsidRPr="006F0F22" w:rsidRDefault="00CF119E" w:rsidP="008B0DDF">
            <w:pPr>
              <w:pStyle w:val="Footer"/>
              <w:tabs>
                <w:tab w:val="clear" w:pos="4320"/>
                <w:tab w:val="clear" w:pos="8640"/>
              </w:tabs>
              <w:ind w:left="0"/>
              <w:contextualSpacing/>
              <w:jc w:val="both"/>
              <w:rPr>
                <w:sz w:val="20"/>
                <w:szCs w:val="20"/>
                <w:lang w:val="en-GB"/>
              </w:rPr>
            </w:pPr>
            <w:r w:rsidRPr="006F0F22">
              <w:rPr>
                <w:sz w:val="20"/>
                <w:szCs w:val="20"/>
                <w:lang w:val="en-GB"/>
              </w:rPr>
              <w:t xml:space="preserve">DGFF will be the second executing agency at national level. </w:t>
            </w:r>
            <w:r w:rsidR="006F54E4" w:rsidRPr="006F0F22">
              <w:rPr>
                <w:sz w:val="20"/>
                <w:szCs w:val="20"/>
                <w:lang w:val="en-GB"/>
              </w:rPr>
              <w:t>It wil</w:t>
            </w:r>
            <w:r w:rsidR="00082789" w:rsidRPr="006F0F22">
              <w:rPr>
                <w:sz w:val="20"/>
                <w:szCs w:val="20"/>
                <w:lang w:val="en-GB"/>
              </w:rPr>
              <w:t xml:space="preserve">l play an active role in </w:t>
            </w:r>
            <w:r w:rsidR="006F54E4" w:rsidRPr="006F0F22">
              <w:rPr>
                <w:sz w:val="20"/>
                <w:szCs w:val="20"/>
                <w:lang w:val="en-GB"/>
              </w:rPr>
              <w:t>the management of Cantanhez NP’s buffer zones and connected biological corridors</w:t>
            </w:r>
            <w:r w:rsidR="00620E34" w:rsidRPr="006F0F22">
              <w:rPr>
                <w:sz w:val="20"/>
                <w:szCs w:val="20"/>
                <w:lang w:val="en-GB"/>
              </w:rPr>
              <w:t xml:space="preserve"> and related community engagement activities. </w:t>
            </w:r>
            <w:r w:rsidR="006F54E4" w:rsidRPr="006F0F22">
              <w:rPr>
                <w:sz w:val="20"/>
                <w:szCs w:val="20"/>
                <w:lang w:val="en-GB"/>
              </w:rPr>
              <w:t>The effective collaboration of IBAP and the DGFF will be critical in tackling the complex socioeconomic reality prevailing in and around Cantanhez NP. Th</w:t>
            </w:r>
            <w:r w:rsidR="00082789" w:rsidRPr="006F0F22">
              <w:rPr>
                <w:sz w:val="20"/>
                <w:szCs w:val="20"/>
                <w:lang w:val="en-GB"/>
              </w:rPr>
              <w:t>e two institutions will need to</w:t>
            </w:r>
            <w:r w:rsidR="006F54E4" w:rsidRPr="006F0F22">
              <w:rPr>
                <w:sz w:val="20"/>
                <w:szCs w:val="20"/>
                <w:lang w:val="en-GB"/>
              </w:rPr>
              <w:t xml:space="preserve"> coordinate closely for the identification and </w:t>
            </w:r>
            <w:r w:rsidR="00836350" w:rsidRPr="006F0F22">
              <w:rPr>
                <w:sz w:val="20"/>
                <w:szCs w:val="20"/>
                <w:lang w:val="en-GB"/>
              </w:rPr>
              <w:t>prio</w:t>
            </w:r>
            <w:r w:rsidR="00082789" w:rsidRPr="006F0F22">
              <w:rPr>
                <w:sz w:val="20"/>
                <w:szCs w:val="20"/>
                <w:lang w:val="en-GB"/>
              </w:rPr>
              <w:t>ritis</w:t>
            </w:r>
            <w:r w:rsidR="00836350" w:rsidRPr="006F0F22">
              <w:rPr>
                <w:sz w:val="20"/>
                <w:szCs w:val="20"/>
                <w:lang w:val="en-GB"/>
              </w:rPr>
              <w:t>ation</w:t>
            </w:r>
            <w:r w:rsidR="006F54E4" w:rsidRPr="006F0F22">
              <w:rPr>
                <w:sz w:val="20"/>
                <w:szCs w:val="20"/>
                <w:lang w:val="en-GB"/>
              </w:rPr>
              <w:t xml:space="preserve"> of management activities and the allocation of funds for </w:t>
            </w:r>
            <w:r w:rsidR="006F54E4" w:rsidRPr="006F0F22">
              <w:rPr>
                <w:sz w:val="20"/>
                <w:szCs w:val="20"/>
                <w:lang w:val="en-GB"/>
              </w:rPr>
              <w:lastRenderedPageBreak/>
              <w:t xml:space="preserve">investments in biodiversity conservation, forestry and land use planning </w:t>
            </w:r>
            <w:r w:rsidR="008B0DDF" w:rsidRPr="006F0F22">
              <w:rPr>
                <w:sz w:val="20"/>
                <w:szCs w:val="20"/>
                <w:lang w:val="en-GB"/>
              </w:rPr>
              <w:t>in Cantanhez NP and at the wider landscape level</w:t>
            </w:r>
            <w:r w:rsidR="006F54E4" w:rsidRPr="006F0F22">
              <w:rPr>
                <w:sz w:val="20"/>
                <w:szCs w:val="20"/>
                <w:lang w:val="en-GB"/>
              </w:rPr>
              <w:t>.</w:t>
            </w:r>
          </w:p>
        </w:tc>
      </w:tr>
      <w:tr w:rsidR="00CF119E" w:rsidRPr="006F0F22" w:rsidTr="008114E2">
        <w:tc>
          <w:tcPr>
            <w:tcW w:w="2089" w:type="dxa"/>
          </w:tcPr>
          <w:p w:rsidR="00CF119E" w:rsidRPr="006F0F22" w:rsidRDefault="00CF119E" w:rsidP="00793D64">
            <w:pPr>
              <w:ind w:left="0"/>
              <w:rPr>
                <w:sz w:val="20"/>
                <w:szCs w:val="20"/>
                <w:lang w:val="en-GB"/>
              </w:rPr>
            </w:pPr>
            <w:r w:rsidRPr="006F0F22">
              <w:rPr>
                <w:sz w:val="20"/>
                <w:szCs w:val="20"/>
                <w:lang w:val="en-GB"/>
              </w:rPr>
              <w:lastRenderedPageBreak/>
              <w:t>BioGuinea Foundation (</w:t>
            </w:r>
            <w:r w:rsidR="008A4887" w:rsidRPr="006F0F22">
              <w:rPr>
                <w:sz w:val="20"/>
                <w:szCs w:val="20"/>
                <w:lang w:val="en-GB"/>
              </w:rPr>
              <w:t>FBG</w:t>
            </w:r>
            <w:r w:rsidR="00620E34" w:rsidRPr="006F0F22">
              <w:rPr>
                <w:sz w:val="20"/>
                <w:szCs w:val="20"/>
                <w:lang w:val="en-GB"/>
              </w:rPr>
              <w:t>).</w:t>
            </w:r>
          </w:p>
        </w:tc>
        <w:tc>
          <w:tcPr>
            <w:tcW w:w="8968" w:type="dxa"/>
          </w:tcPr>
          <w:p w:rsidR="00CF119E" w:rsidRPr="006F0F22" w:rsidRDefault="008B0DDF" w:rsidP="00C441E3">
            <w:pPr>
              <w:ind w:left="0"/>
              <w:rPr>
                <w:sz w:val="20"/>
                <w:szCs w:val="20"/>
                <w:lang w:val="en-GB"/>
              </w:rPr>
            </w:pPr>
            <w:r w:rsidRPr="006F0F22">
              <w:rPr>
                <w:sz w:val="20"/>
                <w:szCs w:val="20"/>
                <w:lang w:val="en-GB"/>
              </w:rPr>
              <w:t xml:space="preserve">The </w:t>
            </w:r>
            <w:r w:rsidR="008A4887" w:rsidRPr="006F0F22">
              <w:rPr>
                <w:sz w:val="20"/>
                <w:szCs w:val="20"/>
                <w:lang w:val="en-GB"/>
              </w:rPr>
              <w:t>FBG</w:t>
            </w:r>
            <w:r w:rsidR="00CF119E" w:rsidRPr="006F0F22">
              <w:rPr>
                <w:sz w:val="20"/>
                <w:szCs w:val="20"/>
                <w:lang w:val="en-GB"/>
              </w:rPr>
              <w:t xml:space="preserve"> has been designed </w:t>
            </w:r>
            <w:r w:rsidR="00C441E3" w:rsidRPr="006F0F22">
              <w:rPr>
                <w:sz w:val="20"/>
                <w:szCs w:val="20"/>
                <w:lang w:val="en-GB"/>
              </w:rPr>
              <w:t xml:space="preserve">and set up </w:t>
            </w:r>
            <w:r w:rsidR="00CF119E" w:rsidRPr="006F0F22">
              <w:rPr>
                <w:sz w:val="20"/>
                <w:szCs w:val="20"/>
                <w:lang w:val="en-GB"/>
              </w:rPr>
              <w:t xml:space="preserve">as a sustainable financing mechanism to safeguard the management of the national PA system. </w:t>
            </w:r>
            <w:r w:rsidR="00C441E3" w:rsidRPr="006F0F22">
              <w:rPr>
                <w:sz w:val="20"/>
                <w:szCs w:val="20"/>
                <w:lang w:val="en-GB"/>
              </w:rPr>
              <w:t>With support from</w:t>
            </w:r>
            <w:r w:rsidR="00836350" w:rsidRPr="006F0F22">
              <w:rPr>
                <w:sz w:val="20"/>
                <w:szCs w:val="20"/>
                <w:lang w:val="en-GB"/>
              </w:rPr>
              <w:t xml:space="preserve"> the WB/IDA </w:t>
            </w:r>
            <w:r w:rsidR="00C441E3" w:rsidRPr="006F0F22">
              <w:rPr>
                <w:sz w:val="20"/>
                <w:szCs w:val="20"/>
                <w:lang w:val="en-GB"/>
              </w:rPr>
              <w:t xml:space="preserve">and WAMER </w:t>
            </w:r>
            <w:r w:rsidR="00836350" w:rsidRPr="006F0F22">
              <w:rPr>
                <w:sz w:val="20"/>
                <w:szCs w:val="20"/>
                <w:lang w:val="en-GB"/>
              </w:rPr>
              <w:t>project</w:t>
            </w:r>
            <w:r w:rsidR="00C441E3" w:rsidRPr="006F0F22">
              <w:rPr>
                <w:sz w:val="20"/>
                <w:szCs w:val="20"/>
                <w:lang w:val="en-GB"/>
              </w:rPr>
              <w:t>s</w:t>
            </w:r>
            <w:r w:rsidR="00836350" w:rsidRPr="006F0F22">
              <w:rPr>
                <w:sz w:val="20"/>
                <w:szCs w:val="20"/>
                <w:lang w:val="en-GB"/>
              </w:rPr>
              <w:t xml:space="preserve">, the </w:t>
            </w:r>
            <w:r w:rsidR="008A4887" w:rsidRPr="006F0F22">
              <w:rPr>
                <w:sz w:val="20"/>
                <w:szCs w:val="20"/>
                <w:lang w:val="en-GB"/>
              </w:rPr>
              <w:t>FBG</w:t>
            </w:r>
            <w:r w:rsidR="00836350" w:rsidRPr="006F0F22">
              <w:rPr>
                <w:sz w:val="20"/>
                <w:szCs w:val="20"/>
                <w:lang w:val="en-GB"/>
              </w:rPr>
              <w:t xml:space="preserve"> will </w:t>
            </w:r>
            <w:r w:rsidR="00C441E3" w:rsidRPr="006F0F22">
              <w:rPr>
                <w:sz w:val="20"/>
                <w:szCs w:val="20"/>
                <w:lang w:val="en-GB"/>
              </w:rPr>
              <w:t>co-</w:t>
            </w:r>
            <w:r w:rsidR="00FE38EB" w:rsidRPr="006F0F22">
              <w:rPr>
                <w:sz w:val="20"/>
                <w:szCs w:val="20"/>
                <w:lang w:val="en-GB"/>
              </w:rPr>
              <w:t>implement</w:t>
            </w:r>
            <w:r w:rsidR="00836350" w:rsidRPr="006F0F22">
              <w:rPr>
                <w:sz w:val="20"/>
                <w:szCs w:val="20"/>
                <w:lang w:val="en-GB"/>
              </w:rPr>
              <w:t xml:space="preserve"> activities planned under Component 1 of the project. IBAP will nevertheless</w:t>
            </w:r>
            <w:r w:rsidR="00C441E3" w:rsidRPr="006F0F22">
              <w:rPr>
                <w:sz w:val="20"/>
                <w:szCs w:val="20"/>
                <w:lang w:val="en-GB"/>
              </w:rPr>
              <w:t xml:space="preserve"> </w:t>
            </w:r>
            <w:r w:rsidR="00836350" w:rsidRPr="006F0F22">
              <w:rPr>
                <w:sz w:val="20"/>
                <w:szCs w:val="20"/>
                <w:lang w:val="en-GB"/>
              </w:rPr>
              <w:t xml:space="preserve">retain overall project implementation responsibility </w:t>
            </w:r>
            <w:r w:rsidR="00FE38EB" w:rsidRPr="006F0F22">
              <w:rPr>
                <w:sz w:val="20"/>
                <w:szCs w:val="20"/>
                <w:lang w:val="en-GB"/>
              </w:rPr>
              <w:t xml:space="preserve">though </w:t>
            </w:r>
            <w:r w:rsidR="008A4887" w:rsidRPr="006F0F22">
              <w:rPr>
                <w:sz w:val="20"/>
                <w:szCs w:val="20"/>
                <w:lang w:val="en-GB"/>
              </w:rPr>
              <w:t>FBG</w:t>
            </w:r>
            <w:r w:rsidR="00836350" w:rsidRPr="006F0F22">
              <w:rPr>
                <w:sz w:val="20"/>
                <w:szCs w:val="20"/>
                <w:lang w:val="en-GB"/>
              </w:rPr>
              <w:t xml:space="preserve"> staff will work closely with their IBAP counterparts, thus building capacity and experience of the fledgling organization.</w:t>
            </w:r>
          </w:p>
        </w:tc>
      </w:tr>
      <w:tr w:rsidR="00CF119E" w:rsidRPr="006F0F22" w:rsidTr="008114E2">
        <w:tc>
          <w:tcPr>
            <w:tcW w:w="2089" w:type="dxa"/>
          </w:tcPr>
          <w:p w:rsidR="00CF119E" w:rsidRPr="006F0F22" w:rsidRDefault="005344A6" w:rsidP="00AE3E19">
            <w:pPr>
              <w:ind w:left="0"/>
              <w:rPr>
                <w:sz w:val="20"/>
                <w:szCs w:val="20"/>
                <w:lang w:val="en-GB"/>
              </w:rPr>
            </w:pPr>
            <w:r w:rsidRPr="006F0F22">
              <w:rPr>
                <w:sz w:val="20"/>
                <w:szCs w:val="20"/>
                <w:lang w:val="en-GB"/>
              </w:rPr>
              <w:t xml:space="preserve">State Secretariat for Environment and Tourism </w:t>
            </w:r>
            <w:r w:rsidR="00CF119E" w:rsidRPr="006F0F22">
              <w:rPr>
                <w:sz w:val="20"/>
                <w:szCs w:val="20"/>
                <w:lang w:val="en-GB"/>
              </w:rPr>
              <w:t xml:space="preserve"> (SEAT)</w:t>
            </w:r>
          </w:p>
        </w:tc>
        <w:tc>
          <w:tcPr>
            <w:tcW w:w="8968" w:type="dxa"/>
          </w:tcPr>
          <w:p w:rsidR="00CF119E" w:rsidRPr="006F0F22" w:rsidRDefault="00CF119E" w:rsidP="00CF119E">
            <w:pPr>
              <w:ind w:left="0"/>
              <w:rPr>
                <w:sz w:val="20"/>
                <w:szCs w:val="20"/>
                <w:lang w:val="en-GB"/>
              </w:rPr>
            </w:pPr>
            <w:r w:rsidRPr="006F0F22">
              <w:rPr>
                <w:sz w:val="20"/>
                <w:szCs w:val="20"/>
                <w:lang w:val="en-GB"/>
              </w:rPr>
              <w:t>The Secretariat depends directly from the Prime Minister and has the specific mandate to coordinate environmental policies and ensure their mainstreaming in the wider decision-making processes. It hosts the Focal Point for the GEF, for Convention on Biodiversity (CBD) and the UN Framework Convention on Climate Change (UNFCCC). Of particular importance to the project is SEAT’s Environmental Impact Assessment Cell (CAIA), mandated to ensure EIA functions within Guinea-Bissau. It is anticipated that CAIA will play a crucial role in improving the implementation of government EIA policies and the licensing and monitoring of activities such as logging in and around PAs.</w:t>
            </w:r>
          </w:p>
        </w:tc>
      </w:tr>
      <w:tr w:rsidR="00CF119E" w:rsidRPr="006F0F22" w:rsidTr="008114E2">
        <w:tc>
          <w:tcPr>
            <w:tcW w:w="2089" w:type="dxa"/>
          </w:tcPr>
          <w:p w:rsidR="00CF119E" w:rsidRPr="006F0F22" w:rsidRDefault="00CF119E" w:rsidP="00C626B1">
            <w:pPr>
              <w:tabs>
                <w:tab w:val="center" w:pos="4320"/>
                <w:tab w:val="right" w:pos="8640"/>
              </w:tabs>
              <w:ind w:left="0"/>
              <w:contextualSpacing/>
              <w:jc w:val="both"/>
              <w:rPr>
                <w:b/>
                <w:bCs/>
                <w:smallCaps/>
                <w:sz w:val="20"/>
                <w:szCs w:val="20"/>
                <w:lang w:val="en-GB"/>
              </w:rPr>
            </w:pPr>
            <w:r w:rsidRPr="006F0F22">
              <w:rPr>
                <w:sz w:val="20"/>
                <w:szCs w:val="20"/>
                <w:lang w:val="en-GB"/>
              </w:rPr>
              <w:t>Local Communities</w:t>
            </w:r>
          </w:p>
        </w:tc>
        <w:tc>
          <w:tcPr>
            <w:tcW w:w="8968" w:type="dxa"/>
          </w:tcPr>
          <w:p w:rsidR="00C51C90" w:rsidRPr="006F0F22" w:rsidRDefault="00CF119E" w:rsidP="00086D14">
            <w:pPr>
              <w:pStyle w:val="Footer"/>
              <w:tabs>
                <w:tab w:val="clear" w:pos="4320"/>
                <w:tab w:val="clear" w:pos="8640"/>
              </w:tabs>
              <w:ind w:left="0"/>
              <w:contextualSpacing/>
              <w:rPr>
                <w:sz w:val="20"/>
                <w:szCs w:val="20"/>
                <w:lang w:val="en-GB"/>
              </w:rPr>
            </w:pPr>
            <w:r w:rsidRPr="006F0F22">
              <w:rPr>
                <w:sz w:val="20"/>
                <w:szCs w:val="20"/>
                <w:lang w:val="en-GB"/>
              </w:rPr>
              <w:t xml:space="preserve">Local communities will be important beneficiaries of all project interventions. Community institutions will participate directly in every level of planning and management, particularly in ecologically sensitive areas such as buffer zones and biological corridors. </w:t>
            </w:r>
            <w:r w:rsidR="00836350" w:rsidRPr="006F0F22">
              <w:rPr>
                <w:sz w:val="20"/>
                <w:szCs w:val="20"/>
                <w:lang w:val="en-GB"/>
              </w:rPr>
              <w:t xml:space="preserve">They will be involved in the negotiation, implementation and monitoring </w:t>
            </w:r>
            <w:r w:rsidR="00C51C90" w:rsidRPr="006F0F22">
              <w:rPr>
                <w:sz w:val="20"/>
                <w:szCs w:val="20"/>
                <w:lang w:val="en-GB"/>
              </w:rPr>
              <w:t xml:space="preserve">of </w:t>
            </w:r>
            <w:r w:rsidR="00836350" w:rsidRPr="006F0F22">
              <w:rPr>
                <w:sz w:val="20"/>
                <w:szCs w:val="20"/>
                <w:lang w:val="en-GB"/>
              </w:rPr>
              <w:t>coll</w:t>
            </w:r>
            <w:r w:rsidR="00C51C90" w:rsidRPr="006F0F22">
              <w:rPr>
                <w:sz w:val="20"/>
                <w:szCs w:val="20"/>
                <w:lang w:val="en-GB"/>
              </w:rPr>
              <w:t>aborative management agreements</w:t>
            </w:r>
            <w:r w:rsidR="00836350" w:rsidRPr="006F0F22">
              <w:rPr>
                <w:sz w:val="20"/>
                <w:szCs w:val="20"/>
                <w:lang w:val="en-GB"/>
              </w:rPr>
              <w:t xml:space="preserve"> </w:t>
            </w:r>
            <w:r w:rsidR="00C51C90" w:rsidRPr="006F0F22">
              <w:rPr>
                <w:sz w:val="20"/>
                <w:szCs w:val="20"/>
                <w:lang w:val="en-GB"/>
              </w:rPr>
              <w:t>and in the piloting of i</w:t>
            </w:r>
            <w:r w:rsidR="00836350" w:rsidRPr="006F0F22">
              <w:rPr>
                <w:sz w:val="20"/>
                <w:szCs w:val="20"/>
                <w:lang w:val="en-GB"/>
              </w:rPr>
              <w:t>nnovative biodiversity-friendly economic activities</w:t>
            </w:r>
            <w:r w:rsidR="00C51C90" w:rsidRPr="006F0F22">
              <w:rPr>
                <w:sz w:val="20"/>
                <w:szCs w:val="20"/>
                <w:lang w:val="en-GB"/>
              </w:rPr>
              <w:t xml:space="preserve">, </w:t>
            </w:r>
            <w:r w:rsidR="00836350" w:rsidRPr="006F0F22">
              <w:rPr>
                <w:sz w:val="20"/>
                <w:szCs w:val="20"/>
                <w:lang w:val="en-GB"/>
              </w:rPr>
              <w:t>promoting sustainable livelihoods with reduced impact on biodiversity resources and ecosystem services.</w:t>
            </w:r>
          </w:p>
        </w:tc>
      </w:tr>
      <w:tr w:rsidR="00787E8B" w:rsidRPr="006F0F22" w:rsidTr="008114E2">
        <w:tc>
          <w:tcPr>
            <w:tcW w:w="2089" w:type="dxa"/>
          </w:tcPr>
          <w:p w:rsidR="00787E8B" w:rsidRPr="006F0F22" w:rsidRDefault="00086D14" w:rsidP="00C626B1">
            <w:pPr>
              <w:tabs>
                <w:tab w:val="center" w:pos="4320"/>
                <w:tab w:val="right" w:pos="8640"/>
              </w:tabs>
              <w:ind w:left="0"/>
              <w:contextualSpacing/>
              <w:jc w:val="both"/>
              <w:rPr>
                <w:sz w:val="20"/>
                <w:szCs w:val="20"/>
                <w:lang w:val="en-GB"/>
              </w:rPr>
            </w:pPr>
            <w:r w:rsidRPr="006F0F22">
              <w:rPr>
                <w:sz w:val="20"/>
                <w:szCs w:val="20"/>
                <w:lang w:val="en-GB"/>
              </w:rPr>
              <w:t>NGOs</w:t>
            </w:r>
          </w:p>
        </w:tc>
        <w:tc>
          <w:tcPr>
            <w:tcW w:w="8968" w:type="dxa"/>
          </w:tcPr>
          <w:p w:rsidR="00B911AA" w:rsidRPr="006F0F22" w:rsidRDefault="00086D14" w:rsidP="002E7075">
            <w:pPr>
              <w:pStyle w:val="Footer"/>
              <w:tabs>
                <w:tab w:val="clear" w:pos="4320"/>
                <w:tab w:val="clear" w:pos="8640"/>
              </w:tabs>
              <w:ind w:left="0"/>
              <w:contextualSpacing/>
              <w:jc w:val="both"/>
              <w:rPr>
                <w:sz w:val="20"/>
                <w:szCs w:val="20"/>
                <w:lang w:val="en-GB"/>
              </w:rPr>
            </w:pPr>
            <w:r w:rsidRPr="006F0F22">
              <w:rPr>
                <w:sz w:val="20"/>
                <w:szCs w:val="20"/>
                <w:lang w:val="en-GB"/>
              </w:rPr>
              <w:t xml:space="preserve">Local NGOs active in </w:t>
            </w:r>
            <w:r w:rsidR="00C93176" w:rsidRPr="006F0F22">
              <w:rPr>
                <w:sz w:val="20"/>
                <w:szCs w:val="20"/>
                <w:lang w:val="en-GB"/>
              </w:rPr>
              <w:t xml:space="preserve">Cantanhez NP </w:t>
            </w:r>
            <w:r w:rsidR="008E738D" w:rsidRPr="006F0F22">
              <w:rPr>
                <w:sz w:val="20"/>
                <w:szCs w:val="20"/>
                <w:lang w:val="en-GB"/>
              </w:rPr>
              <w:t xml:space="preserve">and adjacent </w:t>
            </w:r>
            <w:r w:rsidR="00490925" w:rsidRPr="006F0F22">
              <w:rPr>
                <w:sz w:val="20"/>
                <w:szCs w:val="20"/>
                <w:lang w:val="en-GB"/>
              </w:rPr>
              <w:t>area</w:t>
            </w:r>
            <w:r w:rsidR="008E738D" w:rsidRPr="006F0F22">
              <w:rPr>
                <w:sz w:val="20"/>
                <w:szCs w:val="20"/>
                <w:lang w:val="en-GB"/>
              </w:rPr>
              <w:t>s</w:t>
            </w:r>
            <w:r w:rsidR="00490925" w:rsidRPr="006F0F22">
              <w:rPr>
                <w:sz w:val="20"/>
                <w:szCs w:val="20"/>
                <w:lang w:val="en-GB"/>
              </w:rPr>
              <w:t xml:space="preserve"> </w:t>
            </w:r>
            <w:r w:rsidR="00C93176" w:rsidRPr="006F0F22">
              <w:rPr>
                <w:sz w:val="20"/>
                <w:szCs w:val="20"/>
                <w:lang w:val="en-GB"/>
              </w:rPr>
              <w:t xml:space="preserve">(AD, FIAL, </w:t>
            </w:r>
            <w:r w:rsidR="002E7075" w:rsidRPr="006F0F22">
              <w:rPr>
                <w:sz w:val="20"/>
                <w:szCs w:val="20"/>
                <w:lang w:val="en-GB"/>
              </w:rPr>
              <w:t xml:space="preserve">TINIGUENA, DIVUTEC, </w:t>
            </w:r>
            <w:r w:rsidR="00C93176" w:rsidRPr="006F0F22">
              <w:rPr>
                <w:sz w:val="20"/>
                <w:szCs w:val="20"/>
                <w:lang w:val="en-GB"/>
              </w:rPr>
              <w:t xml:space="preserve">etc.) </w:t>
            </w:r>
            <w:r w:rsidR="00490925" w:rsidRPr="006F0F22">
              <w:rPr>
                <w:sz w:val="20"/>
                <w:szCs w:val="20"/>
                <w:lang w:val="en-GB"/>
              </w:rPr>
              <w:t xml:space="preserve">have played and will continue to </w:t>
            </w:r>
            <w:r w:rsidRPr="006F0F22">
              <w:rPr>
                <w:sz w:val="20"/>
                <w:szCs w:val="20"/>
                <w:lang w:val="en-GB"/>
              </w:rPr>
              <w:t xml:space="preserve">play a </w:t>
            </w:r>
            <w:r w:rsidR="00490925" w:rsidRPr="006F0F22">
              <w:rPr>
                <w:sz w:val="20"/>
                <w:szCs w:val="20"/>
                <w:lang w:val="en-GB"/>
              </w:rPr>
              <w:t xml:space="preserve">fundamental </w:t>
            </w:r>
            <w:r w:rsidRPr="006F0F22">
              <w:rPr>
                <w:sz w:val="20"/>
                <w:szCs w:val="20"/>
                <w:lang w:val="en-GB"/>
              </w:rPr>
              <w:t>role in facilitating community engagement, building local capacities</w:t>
            </w:r>
            <w:r w:rsidR="00490925" w:rsidRPr="006F0F22">
              <w:rPr>
                <w:sz w:val="20"/>
                <w:szCs w:val="20"/>
                <w:lang w:val="en-GB"/>
              </w:rPr>
              <w:t xml:space="preserve">, mobilise community NP guards, </w:t>
            </w:r>
            <w:r w:rsidR="00C93176" w:rsidRPr="006F0F22">
              <w:rPr>
                <w:sz w:val="20"/>
                <w:szCs w:val="20"/>
                <w:lang w:val="en-GB"/>
              </w:rPr>
              <w:t xml:space="preserve">and </w:t>
            </w:r>
            <w:r w:rsidR="00490925" w:rsidRPr="006F0F22">
              <w:rPr>
                <w:sz w:val="20"/>
                <w:szCs w:val="20"/>
                <w:lang w:val="en-GB"/>
              </w:rPr>
              <w:t xml:space="preserve">implementing </w:t>
            </w:r>
            <w:r w:rsidR="00C93176" w:rsidRPr="006F0F22">
              <w:rPr>
                <w:sz w:val="20"/>
                <w:szCs w:val="20"/>
                <w:lang w:val="en-GB"/>
              </w:rPr>
              <w:t>livelihood activities including</w:t>
            </w:r>
            <w:r w:rsidRPr="006F0F22">
              <w:rPr>
                <w:sz w:val="20"/>
                <w:szCs w:val="20"/>
                <w:lang w:val="en-GB"/>
              </w:rPr>
              <w:t xml:space="preserve"> the demonstration of pilot biodiversity-friendly economic activities. </w:t>
            </w:r>
          </w:p>
        </w:tc>
      </w:tr>
    </w:tbl>
    <w:p w:rsidR="008114E2" w:rsidRPr="006F0F22" w:rsidRDefault="008114E2" w:rsidP="008114E2">
      <w:pPr>
        <w:pStyle w:val="Heading4"/>
        <w:ind w:left="0"/>
        <w:rPr>
          <w:b w:val="0"/>
        </w:rPr>
      </w:pPr>
    </w:p>
    <w:p w:rsidR="00A07E72" w:rsidRPr="006F0F22" w:rsidRDefault="00870816" w:rsidP="008114E2">
      <w:pPr>
        <w:pStyle w:val="Heading4"/>
        <w:ind w:left="0"/>
        <w:rPr>
          <w:u w:val="single"/>
        </w:rPr>
      </w:pPr>
      <w:r w:rsidRPr="006F0F22">
        <w:rPr>
          <w:u w:val="single"/>
        </w:rPr>
        <w:t xml:space="preserve">A.3 </w:t>
      </w:r>
      <w:r w:rsidR="00172639" w:rsidRPr="006F0F22">
        <w:rPr>
          <w:u w:val="single"/>
        </w:rPr>
        <w:t>Risk Management</w:t>
      </w:r>
    </w:p>
    <w:p w:rsidR="008114E2" w:rsidRPr="006F0F22" w:rsidRDefault="008114E2" w:rsidP="008114E2">
      <w:pPr>
        <w:rPr>
          <w:lang w:val="en-GB"/>
        </w:rPr>
      </w:pPr>
    </w:p>
    <w:tbl>
      <w:tblPr>
        <w:tblStyle w:val="TableGrid"/>
        <w:tblW w:w="0" w:type="auto"/>
        <w:tblInd w:w="108" w:type="dxa"/>
        <w:tblLayout w:type="fixed"/>
        <w:tblLook w:val="04A0" w:firstRow="1" w:lastRow="0" w:firstColumn="1" w:lastColumn="0" w:noHBand="0" w:noVBand="1"/>
      </w:tblPr>
      <w:tblGrid>
        <w:gridCol w:w="2694"/>
        <w:gridCol w:w="850"/>
        <w:gridCol w:w="7513"/>
      </w:tblGrid>
      <w:tr w:rsidR="00172639" w:rsidRPr="006F0F22" w:rsidTr="00E503D2">
        <w:trPr>
          <w:tblHeader/>
        </w:trPr>
        <w:tc>
          <w:tcPr>
            <w:tcW w:w="2694" w:type="dxa"/>
            <w:shd w:val="clear" w:color="auto" w:fill="BFBFBF" w:themeFill="background1" w:themeFillShade="BF"/>
          </w:tcPr>
          <w:p w:rsidR="00172639" w:rsidRPr="006F0F22" w:rsidRDefault="00172639" w:rsidP="00172639">
            <w:pPr>
              <w:ind w:left="0"/>
              <w:rPr>
                <w:rFonts w:eastAsia="Calibri"/>
                <w:b/>
                <w:sz w:val="20"/>
                <w:szCs w:val="20"/>
                <w:lang w:val="en-GB"/>
              </w:rPr>
            </w:pPr>
            <w:r w:rsidRPr="006F0F22">
              <w:rPr>
                <w:rFonts w:eastAsia="Calibri"/>
                <w:b/>
                <w:sz w:val="20"/>
                <w:szCs w:val="20"/>
                <w:lang w:val="en-GB"/>
              </w:rPr>
              <w:t>Risks</w:t>
            </w:r>
          </w:p>
        </w:tc>
        <w:tc>
          <w:tcPr>
            <w:tcW w:w="850" w:type="dxa"/>
            <w:shd w:val="clear" w:color="auto" w:fill="BFBFBF" w:themeFill="background1" w:themeFillShade="BF"/>
          </w:tcPr>
          <w:p w:rsidR="00172639" w:rsidRPr="006F0F22" w:rsidRDefault="00172639" w:rsidP="00787E8B">
            <w:pPr>
              <w:ind w:left="-57" w:right="-57"/>
              <w:rPr>
                <w:rFonts w:eastAsia="Calibri"/>
                <w:b/>
                <w:sz w:val="20"/>
                <w:szCs w:val="20"/>
                <w:lang w:val="en-GB"/>
              </w:rPr>
            </w:pPr>
            <w:r w:rsidRPr="006F0F22">
              <w:rPr>
                <w:rFonts w:eastAsia="Calibri"/>
                <w:b/>
                <w:sz w:val="20"/>
                <w:szCs w:val="20"/>
                <w:lang w:val="en-GB"/>
              </w:rPr>
              <w:t>Level</w:t>
            </w:r>
          </w:p>
        </w:tc>
        <w:tc>
          <w:tcPr>
            <w:tcW w:w="7513" w:type="dxa"/>
            <w:shd w:val="clear" w:color="auto" w:fill="BFBFBF" w:themeFill="background1" w:themeFillShade="BF"/>
          </w:tcPr>
          <w:p w:rsidR="00172639" w:rsidRPr="006F0F22" w:rsidRDefault="00172639" w:rsidP="00172639">
            <w:pPr>
              <w:ind w:left="0"/>
              <w:rPr>
                <w:rFonts w:eastAsia="Calibri"/>
                <w:b/>
                <w:sz w:val="20"/>
                <w:szCs w:val="20"/>
                <w:lang w:val="en-GB"/>
              </w:rPr>
            </w:pPr>
            <w:r w:rsidRPr="006F0F22">
              <w:rPr>
                <w:rFonts w:eastAsia="Calibri"/>
                <w:b/>
                <w:sz w:val="20"/>
                <w:szCs w:val="20"/>
                <w:lang w:val="en-GB"/>
              </w:rPr>
              <w:t>Mitigation</w:t>
            </w:r>
          </w:p>
        </w:tc>
      </w:tr>
      <w:tr w:rsidR="003C38DD" w:rsidRPr="006F0F22" w:rsidTr="00520DED">
        <w:tc>
          <w:tcPr>
            <w:tcW w:w="2694" w:type="dxa"/>
          </w:tcPr>
          <w:p w:rsidR="003C38DD" w:rsidRPr="006F0F22" w:rsidRDefault="00D25E4C" w:rsidP="003C38DD">
            <w:pPr>
              <w:pStyle w:val="Footer"/>
              <w:tabs>
                <w:tab w:val="clear" w:pos="4320"/>
                <w:tab w:val="clear" w:pos="8640"/>
              </w:tabs>
              <w:ind w:left="-57" w:right="-57"/>
              <w:contextualSpacing/>
              <w:rPr>
                <w:sz w:val="20"/>
                <w:szCs w:val="20"/>
                <w:lang w:val="en-GB"/>
              </w:rPr>
            </w:pPr>
            <w:r w:rsidRPr="006F0F22">
              <w:rPr>
                <w:sz w:val="20"/>
                <w:szCs w:val="20"/>
                <w:lang w:val="en-GB"/>
              </w:rPr>
              <w:t xml:space="preserve">1. </w:t>
            </w:r>
            <w:r w:rsidR="003C38DD" w:rsidRPr="006F0F22">
              <w:rPr>
                <w:sz w:val="20"/>
                <w:szCs w:val="20"/>
                <w:lang w:val="en-GB"/>
              </w:rPr>
              <w:t>The capital invested in the FB</w:t>
            </w:r>
            <w:r w:rsidR="00741459" w:rsidRPr="006F0F22">
              <w:rPr>
                <w:sz w:val="20"/>
                <w:szCs w:val="20"/>
                <w:lang w:val="en-GB"/>
              </w:rPr>
              <w:t>G</w:t>
            </w:r>
            <w:r w:rsidR="003C38DD" w:rsidRPr="006F0F22">
              <w:rPr>
                <w:sz w:val="20"/>
                <w:szCs w:val="20"/>
                <w:lang w:val="en-GB"/>
              </w:rPr>
              <w:t xml:space="preserve"> </w:t>
            </w:r>
            <w:r w:rsidR="00741459" w:rsidRPr="006F0F22">
              <w:rPr>
                <w:sz w:val="20"/>
                <w:szCs w:val="20"/>
                <w:lang w:val="en-GB"/>
              </w:rPr>
              <w:t xml:space="preserve">endowment </w:t>
            </w:r>
            <w:r w:rsidR="003C38DD" w:rsidRPr="006F0F22">
              <w:rPr>
                <w:sz w:val="20"/>
                <w:szCs w:val="20"/>
                <w:lang w:val="en-GB"/>
              </w:rPr>
              <w:t xml:space="preserve">and the revenue generated are diverted from their purpose, i.e. not used for the conservation of biodiversity and management of PAs </w:t>
            </w:r>
          </w:p>
        </w:tc>
        <w:tc>
          <w:tcPr>
            <w:tcW w:w="850" w:type="dxa"/>
          </w:tcPr>
          <w:p w:rsidR="003C38DD" w:rsidRPr="006F0F22" w:rsidRDefault="003C38DD" w:rsidP="00787E8B">
            <w:pPr>
              <w:pStyle w:val="Footer"/>
              <w:tabs>
                <w:tab w:val="clear" w:pos="4320"/>
                <w:tab w:val="clear" w:pos="8640"/>
              </w:tabs>
              <w:ind w:left="-57" w:right="-57"/>
              <w:contextualSpacing/>
              <w:rPr>
                <w:sz w:val="20"/>
                <w:szCs w:val="20"/>
                <w:lang w:val="en-GB"/>
              </w:rPr>
            </w:pPr>
            <w:r w:rsidRPr="006F0F22">
              <w:rPr>
                <w:sz w:val="20"/>
                <w:szCs w:val="20"/>
                <w:lang w:val="en-GB"/>
              </w:rPr>
              <w:t>Low</w:t>
            </w:r>
          </w:p>
        </w:tc>
        <w:tc>
          <w:tcPr>
            <w:tcW w:w="7513" w:type="dxa"/>
          </w:tcPr>
          <w:p w:rsidR="003C38DD" w:rsidRPr="006F0F22" w:rsidRDefault="003C38DD" w:rsidP="006B746E">
            <w:pPr>
              <w:pStyle w:val="Footer"/>
              <w:tabs>
                <w:tab w:val="clear" w:pos="4320"/>
                <w:tab w:val="clear" w:pos="8640"/>
              </w:tabs>
              <w:ind w:left="-57" w:right="-57"/>
              <w:contextualSpacing/>
              <w:rPr>
                <w:sz w:val="20"/>
                <w:szCs w:val="20"/>
                <w:lang w:val="en-GB"/>
              </w:rPr>
            </w:pPr>
            <w:r w:rsidRPr="006F0F22">
              <w:rPr>
                <w:sz w:val="20"/>
                <w:szCs w:val="20"/>
                <w:lang w:val="en-GB"/>
              </w:rPr>
              <w:t>The governance of the FBG and its setup as a UK charity guarantee institutional independence and accountability towards the donors over the long term. The FBG</w:t>
            </w:r>
            <w:r w:rsidR="006B746E" w:rsidRPr="006F0F22">
              <w:rPr>
                <w:sz w:val="20"/>
                <w:szCs w:val="20"/>
                <w:lang w:val="en-GB"/>
              </w:rPr>
              <w:t xml:space="preserve"> is</w:t>
            </w:r>
            <w:r w:rsidRPr="006F0F22">
              <w:rPr>
                <w:sz w:val="20"/>
                <w:szCs w:val="20"/>
                <w:lang w:val="en-GB"/>
              </w:rPr>
              <w:t xml:space="preserve"> set up in compliance with benchmark trust fund requirements (GEF, Wor</w:t>
            </w:r>
            <w:r w:rsidR="00741459" w:rsidRPr="006F0F22">
              <w:rPr>
                <w:sz w:val="20"/>
                <w:szCs w:val="20"/>
                <w:lang w:val="en-GB"/>
              </w:rPr>
              <w:t>ld</w:t>
            </w:r>
            <w:r w:rsidRPr="006F0F22">
              <w:rPr>
                <w:sz w:val="20"/>
                <w:szCs w:val="20"/>
                <w:lang w:val="en-GB"/>
              </w:rPr>
              <w:t xml:space="preserve"> Bank, UNDP).</w:t>
            </w:r>
          </w:p>
        </w:tc>
      </w:tr>
      <w:tr w:rsidR="00520DED" w:rsidRPr="006F0F22" w:rsidTr="00520DED">
        <w:tc>
          <w:tcPr>
            <w:tcW w:w="2694" w:type="dxa"/>
          </w:tcPr>
          <w:p w:rsidR="00520DED" w:rsidRPr="006F0F22" w:rsidRDefault="00D25E4C" w:rsidP="004F7778">
            <w:pPr>
              <w:pStyle w:val="Footer"/>
              <w:tabs>
                <w:tab w:val="clear" w:pos="4320"/>
                <w:tab w:val="clear" w:pos="8640"/>
              </w:tabs>
              <w:ind w:left="-57" w:right="-57"/>
              <w:contextualSpacing/>
              <w:rPr>
                <w:sz w:val="20"/>
                <w:szCs w:val="20"/>
                <w:lang w:val="en-GB"/>
              </w:rPr>
            </w:pPr>
            <w:r w:rsidRPr="006F0F22">
              <w:rPr>
                <w:sz w:val="20"/>
                <w:szCs w:val="20"/>
                <w:lang w:val="en-GB"/>
              </w:rPr>
              <w:t xml:space="preserve">2. </w:t>
            </w:r>
            <w:r w:rsidR="00520DED" w:rsidRPr="006F0F22">
              <w:rPr>
                <w:sz w:val="20"/>
                <w:szCs w:val="20"/>
                <w:lang w:val="en-GB"/>
              </w:rPr>
              <w:t xml:space="preserve">Global economic and financial crisis leads to </w:t>
            </w:r>
            <w:r w:rsidR="004F7778" w:rsidRPr="006F0F22">
              <w:rPr>
                <w:sz w:val="20"/>
                <w:szCs w:val="20"/>
                <w:lang w:val="en-GB"/>
              </w:rPr>
              <w:t xml:space="preserve">reduced funds from international donors, and causes </w:t>
            </w:r>
            <w:r w:rsidR="00520DED" w:rsidRPr="006F0F22">
              <w:rPr>
                <w:sz w:val="20"/>
                <w:szCs w:val="20"/>
                <w:lang w:val="en-GB"/>
              </w:rPr>
              <w:t>consistently lower returns on the endowment over the long term</w:t>
            </w:r>
          </w:p>
        </w:tc>
        <w:tc>
          <w:tcPr>
            <w:tcW w:w="850" w:type="dxa"/>
          </w:tcPr>
          <w:p w:rsidR="00520DED" w:rsidRPr="006F0F22" w:rsidRDefault="002B0D3D" w:rsidP="00787E8B">
            <w:pPr>
              <w:pStyle w:val="Footer"/>
              <w:tabs>
                <w:tab w:val="clear" w:pos="4320"/>
                <w:tab w:val="clear" w:pos="8640"/>
              </w:tabs>
              <w:ind w:left="-57" w:right="-57"/>
              <w:contextualSpacing/>
              <w:rPr>
                <w:sz w:val="20"/>
                <w:szCs w:val="20"/>
                <w:lang w:val="en-GB"/>
              </w:rPr>
            </w:pPr>
            <w:r w:rsidRPr="006F0F22">
              <w:rPr>
                <w:sz w:val="20"/>
                <w:szCs w:val="20"/>
                <w:lang w:val="en-GB"/>
              </w:rPr>
              <w:t>Low-Medium</w:t>
            </w:r>
          </w:p>
        </w:tc>
        <w:tc>
          <w:tcPr>
            <w:tcW w:w="7513" w:type="dxa"/>
          </w:tcPr>
          <w:p w:rsidR="003E465C" w:rsidRPr="006F0F22" w:rsidRDefault="00322162" w:rsidP="00824F4F">
            <w:pPr>
              <w:pStyle w:val="Footer"/>
              <w:ind w:left="-57" w:right="-57"/>
              <w:contextualSpacing/>
              <w:rPr>
                <w:sz w:val="20"/>
                <w:szCs w:val="20"/>
                <w:lang w:val="en-GB"/>
              </w:rPr>
            </w:pPr>
            <w:r w:rsidRPr="006F0F22">
              <w:rPr>
                <w:sz w:val="20"/>
                <w:szCs w:val="20"/>
                <w:lang w:val="en-GB"/>
              </w:rPr>
              <w:t xml:space="preserve">The </w:t>
            </w:r>
            <w:r w:rsidR="007E0EEE" w:rsidRPr="006F0F22">
              <w:rPr>
                <w:sz w:val="20"/>
                <w:szCs w:val="20"/>
                <w:lang w:val="en-GB"/>
              </w:rPr>
              <w:t xml:space="preserve">initial </w:t>
            </w:r>
            <w:r w:rsidRPr="006F0F22">
              <w:rPr>
                <w:sz w:val="20"/>
                <w:szCs w:val="20"/>
                <w:lang w:val="en-GB"/>
              </w:rPr>
              <w:t xml:space="preserve">capitalisation of the FBG endowment fund </w:t>
            </w:r>
            <w:r w:rsidR="007E0EEE" w:rsidRPr="006F0F22">
              <w:rPr>
                <w:sz w:val="20"/>
                <w:szCs w:val="20"/>
                <w:lang w:val="en-GB"/>
              </w:rPr>
              <w:t>with $</w:t>
            </w:r>
            <w:r w:rsidR="00876691" w:rsidRPr="006F0F22">
              <w:rPr>
                <w:sz w:val="20"/>
                <w:szCs w:val="20"/>
                <w:lang w:val="en-GB"/>
              </w:rPr>
              <w:t>8</w:t>
            </w:r>
            <w:r w:rsidR="007E0EEE" w:rsidRPr="006F0F22">
              <w:rPr>
                <w:sz w:val="20"/>
                <w:szCs w:val="20"/>
                <w:lang w:val="en-GB"/>
              </w:rPr>
              <w:t>,</w:t>
            </w:r>
            <w:r w:rsidR="00876691" w:rsidRPr="006F0F22">
              <w:rPr>
                <w:sz w:val="20"/>
                <w:szCs w:val="20"/>
                <w:lang w:val="en-GB"/>
              </w:rPr>
              <w:t>6</w:t>
            </w:r>
            <w:r w:rsidR="007E0EEE" w:rsidRPr="006F0F22">
              <w:rPr>
                <w:sz w:val="20"/>
                <w:szCs w:val="20"/>
                <w:lang w:val="en-GB"/>
              </w:rPr>
              <w:t xml:space="preserve">00,000 </w:t>
            </w:r>
            <w:r w:rsidR="000213E7" w:rsidRPr="006F0F22">
              <w:rPr>
                <w:sz w:val="20"/>
                <w:szCs w:val="20"/>
                <w:lang w:val="en-GB"/>
              </w:rPr>
              <w:t xml:space="preserve">through the current project </w:t>
            </w:r>
            <w:r w:rsidRPr="006F0F22">
              <w:rPr>
                <w:sz w:val="20"/>
                <w:szCs w:val="20"/>
                <w:lang w:val="en-GB"/>
              </w:rPr>
              <w:t xml:space="preserve">is one of the best </w:t>
            </w:r>
            <w:r w:rsidR="00EC15A5" w:rsidRPr="006F0F22">
              <w:rPr>
                <w:sz w:val="20"/>
                <w:szCs w:val="20"/>
                <w:lang w:val="en-GB"/>
              </w:rPr>
              <w:t>mitigation</w:t>
            </w:r>
            <w:r w:rsidR="00EC15A5" w:rsidRPr="006F0F22">
              <w:rPr>
                <w:color w:val="FF0000"/>
                <w:sz w:val="20"/>
                <w:szCs w:val="20"/>
                <w:lang w:val="en-GB"/>
              </w:rPr>
              <w:t xml:space="preserve"> </w:t>
            </w:r>
            <w:r w:rsidRPr="006F0F22">
              <w:rPr>
                <w:sz w:val="20"/>
                <w:szCs w:val="20"/>
                <w:lang w:val="en-GB"/>
              </w:rPr>
              <w:t xml:space="preserve">responses to </w:t>
            </w:r>
            <w:r w:rsidR="000213E7" w:rsidRPr="006F0F22">
              <w:rPr>
                <w:sz w:val="20"/>
                <w:szCs w:val="20"/>
                <w:lang w:val="en-GB"/>
              </w:rPr>
              <w:t xml:space="preserve">Guinea-Bissau’s </w:t>
            </w:r>
            <w:r w:rsidRPr="006F0F22">
              <w:rPr>
                <w:sz w:val="20"/>
                <w:szCs w:val="20"/>
                <w:lang w:val="en-GB"/>
              </w:rPr>
              <w:t xml:space="preserve">high </w:t>
            </w:r>
            <w:r w:rsidR="000213E7" w:rsidRPr="006F0F22">
              <w:rPr>
                <w:sz w:val="20"/>
                <w:szCs w:val="20"/>
                <w:lang w:val="en-GB"/>
              </w:rPr>
              <w:t xml:space="preserve">vulnerability to </w:t>
            </w:r>
            <w:r w:rsidRPr="006F0F22">
              <w:rPr>
                <w:sz w:val="20"/>
                <w:szCs w:val="20"/>
                <w:lang w:val="en-GB"/>
              </w:rPr>
              <w:t>unpredictable and declining donor funding</w:t>
            </w:r>
            <w:r w:rsidR="000213E7" w:rsidRPr="006F0F22">
              <w:rPr>
                <w:sz w:val="20"/>
                <w:szCs w:val="20"/>
                <w:lang w:val="en-GB"/>
              </w:rPr>
              <w:t xml:space="preserve">. In addition the FBG will engage in more proactive promotion activities that involve some key players and institutions involved in </w:t>
            </w:r>
            <w:r w:rsidR="007E0EEE" w:rsidRPr="006F0F22">
              <w:rPr>
                <w:sz w:val="20"/>
                <w:szCs w:val="20"/>
                <w:lang w:val="en-GB"/>
              </w:rPr>
              <w:t xml:space="preserve">the conservation of </w:t>
            </w:r>
            <w:r w:rsidR="000213E7" w:rsidRPr="006F0F22">
              <w:rPr>
                <w:sz w:val="20"/>
                <w:szCs w:val="20"/>
                <w:lang w:val="en-GB"/>
              </w:rPr>
              <w:t>Guine</w:t>
            </w:r>
            <w:r w:rsidR="007E0EEE" w:rsidRPr="006F0F22">
              <w:rPr>
                <w:sz w:val="20"/>
                <w:szCs w:val="20"/>
                <w:lang w:val="en-GB"/>
              </w:rPr>
              <w:t>a-</w:t>
            </w:r>
            <w:r w:rsidR="000213E7" w:rsidRPr="006F0F22">
              <w:rPr>
                <w:sz w:val="20"/>
                <w:szCs w:val="20"/>
                <w:lang w:val="en-GB"/>
              </w:rPr>
              <w:t>Bissau</w:t>
            </w:r>
            <w:r w:rsidR="007E0EEE" w:rsidRPr="006F0F22">
              <w:rPr>
                <w:sz w:val="20"/>
                <w:szCs w:val="20"/>
                <w:lang w:val="en-GB"/>
              </w:rPr>
              <w:t>’s biodiversity</w:t>
            </w:r>
            <w:r w:rsidR="00D97FA5" w:rsidRPr="006F0F22">
              <w:rPr>
                <w:sz w:val="20"/>
                <w:szCs w:val="20"/>
                <w:lang w:val="en-GB"/>
              </w:rPr>
              <w:t xml:space="preserve"> (including IBAP, UNDP and others) </w:t>
            </w:r>
            <w:r w:rsidR="007E0EEE" w:rsidRPr="006F0F22">
              <w:rPr>
                <w:sz w:val="20"/>
                <w:szCs w:val="20"/>
                <w:lang w:val="en-GB"/>
              </w:rPr>
              <w:t xml:space="preserve">to </w:t>
            </w:r>
            <w:r w:rsidR="00D97FA5" w:rsidRPr="006F0F22">
              <w:rPr>
                <w:sz w:val="20"/>
                <w:szCs w:val="20"/>
                <w:lang w:val="en-GB"/>
              </w:rPr>
              <w:t xml:space="preserve">leverage </w:t>
            </w:r>
            <w:r w:rsidR="007E0EEE" w:rsidRPr="006F0F22">
              <w:rPr>
                <w:sz w:val="20"/>
                <w:szCs w:val="20"/>
                <w:lang w:val="en-GB"/>
              </w:rPr>
              <w:t xml:space="preserve">further contributions; and the project will conduct </w:t>
            </w:r>
            <w:r w:rsidR="00D97FA5" w:rsidRPr="006F0F22">
              <w:rPr>
                <w:sz w:val="20"/>
                <w:szCs w:val="20"/>
                <w:lang w:val="en-GB"/>
              </w:rPr>
              <w:t xml:space="preserve">an </w:t>
            </w:r>
            <w:r w:rsidR="007E0EEE" w:rsidRPr="006F0F22">
              <w:rPr>
                <w:sz w:val="20"/>
                <w:szCs w:val="20"/>
                <w:lang w:val="en-GB"/>
              </w:rPr>
              <w:t xml:space="preserve">in depth analysis of financing mechanisms </w:t>
            </w:r>
            <w:r w:rsidR="00D97FA5" w:rsidRPr="006F0F22">
              <w:rPr>
                <w:sz w:val="20"/>
                <w:szCs w:val="20"/>
                <w:lang w:val="en-GB"/>
              </w:rPr>
              <w:t xml:space="preserve">more generally </w:t>
            </w:r>
            <w:r w:rsidR="007E0EEE" w:rsidRPr="006F0F22">
              <w:rPr>
                <w:sz w:val="20"/>
                <w:szCs w:val="20"/>
                <w:lang w:val="en-GB"/>
              </w:rPr>
              <w:t>that can be applied in the country</w:t>
            </w:r>
            <w:r w:rsidR="00D97FA5" w:rsidRPr="006F0F22">
              <w:rPr>
                <w:sz w:val="20"/>
                <w:szCs w:val="20"/>
                <w:lang w:val="en-GB"/>
              </w:rPr>
              <w:t xml:space="preserve"> to broaden the spectrum of income sources – for the endowment but also for sinking and revolving funds</w:t>
            </w:r>
            <w:r w:rsidR="007E0EEE" w:rsidRPr="006F0F22">
              <w:rPr>
                <w:sz w:val="20"/>
                <w:szCs w:val="20"/>
                <w:lang w:val="en-GB"/>
              </w:rPr>
              <w:t>.</w:t>
            </w:r>
            <w:r w:rsidR="0042087D" w:rsidRPr="006F0F22">
              <w:rPr>
                <w:sz w:val="20"/>
                <w:szCs w:val="20"/>
                <w:lang w:val="en-GB"/>
              </w:rPr>
              <w:t xml:space="preserve"> </w:t>
            </w:r>
            <w:r w:rsidR="00520DED" w:rsidRPr="006F0F22">
              <w:rPr>
                <w:sz w:val="20"/>
                <w:szCs w:val="20"/>
                <w:lang w:val="en-GB"/>
              </w:rPr>
              <w:t xml:space="preserve">Although interest rates and investment returns have </w:t>
            </w:r>
            <w:r w:rsidR="0087781A" w:rsidRPr="006F0F22">
              <w:rPr>
                <w:sz w:val="20"/>
                <w:szCs w:val="20"/>
                <w:lang w:val="en-GB"/>
              </w:rPr>
              <w:t>largely been exceedingly low in recent years</w:t>
            </w:r>
            <w:r w:rsidR="00520DED" w:rsidRPr="006F0F22">
              <w:rPr>
                <w:sz w:val="20"/>
                <w:szCs w:val="20"/>
                <w:lang w:val="en-GB"/>
              </w:rPr>
              <w:t xml:space="preserve">, historical data suggest that it is reasonable to assume an average 5% return on the </w:t>
            </w:r>
            <w:r w:rsidR="00824F4F" w:rsidRPr="006F0F22">
              <w:rPr>
                <w:sz w:val="20"/>
                <w:szCs w:val="20"/>
                <w:lang w:val="en-GB"/>
              </w:rPr>
              <w:t>FBG</w:t>
            </w:r>
            <w:r w:rsidR="0087781A" w:rsidRPr="006F0F22">
              <w:rPr>
                <w:sz w:val="20"/>
                <w:szCs w:val="20"/>
                <w:lang w:val="en-GB"/>
              </w:rPr>
              <w:t xml:space="preserve"> </w:t>
            </w:r>
            <w:r w:rsidR="00520DED" w:rsidRPr="006F0F22">
              <w:rPr>
                <w:sz w:val="20"/>
                <w:szCs w:val="20"/>
                <w:lang w:val="en-GB"/>
              </w:rPr>
              <w:t>investments over the long term</w:t>
            </w:r>
            <w:r w:rsidR="0087781A" w:rsidRPr="006F0F22">
              <w:rPr>
                <w:sz w:val="20"/>
                <w:szCs w:val="20"/>
                <w:lang w:val="en-GB"/>
              </w:rPr>
              <w:t>, which is the rate reflected in the proposal</w:t>
            </w:r>
            <w:r w:rsidR="00520DED" w:rsidRPr="006F0F22">
              <w:rPr>
                <w:sz w:val="20"/>
                <w:szCs w:val="20"/>
                <w:lang w:val="en-GB"/>
              </w:rPr>
              <w:t xml:space="preserve">. </w:t>
            </w:r>
            <w:r w:rsidR="0087781A" w:rsidRPr="006F0F22">
              <w:rPr>
                <w:sz w:val="20"/>
                <w:szCs w:val="20"/>
                <w:lang w:val="en-GB"/>
              </w:rPr>
              <w:t>P</w:t>
            </w:r>
            <w:r w:rsidR="00520DED" w:rsidRPr="006F0F22">
              <w:rPr>
                <w:sz w:val="20"/>
                <w:szCs w:val="20"/>
                <w:lang w:val="en-GB"/>
              </w:rPr>
              <w:t>ossible fluctuations in future returns will be taken into account in the design of the investment and grant making strategies.</w:t>
            </w:r>
          </w:p>
        </w:tc>
      </w:tr>
      <w:tr w:rsidR="000A5F4A" w:rsidRPr="006F0F22" w:rsidTr="00520DED">
        <w:tc>
          <w:tcPr>
            <w:tcW w:w="2694" w:type="dxa"/>
          </w:tcPr>
          <w:p w:rsidR="00A33DB9" w:rsidRPr="006F0F22" w:rsidRDefault="00F91417" w:rsidP="00787E8B">
            <w:pPr>
              <w:tabs>
                <w:tab w:val="center" w:pos="4320"/>
                <w:tab w:val="right" w:pos="8640"/>
              </w:tabs>
              <w:ind w:left="-57" w:right="-57"/>
              <w:contextualSpacing/>
              <w:rPr>
                <w:sz w:val="20"/>
                <w:szCs w:val="20"/>
                <w:lang w:val="en-GB"/>
              </w:rPr>
            </w:pPr>
            <w:r w:rsidRPr="006F0F22">
              <w:rPr>
                <w:sz w:val="20"/>
                <w:szCs w:val="20"/>
                <w:u w:val="single"/>
                <w:lang w:val="en-GB"/>
              </w:rPr>
              <w:t>3</w:t>
            </w:r>
            <w:r w:rsidR="00D25E4C" w:rsidRPr="006F0F22">
              <w:rPr>
                <w:sz w:val="20"/>
                <w:szCs w:val="20"/>
                <w:u w:val="single"/>
                <w:lang w:val="en-GB"/>
              </w:rPr>
              <w:t xml:space="preserve">. </w:t>
            </w:r>
            <w:r w:rsidR="00A33DB9" w:rsidRPr="006F0F22">
              <w:rPr>
                <w:sz w:val="20"/>
                <w:szCs w:val="20"/>
                <w:u w:val="single"/>
                <w:lang w:val="en-GB"/>
              </w:rPr>
              <w:t>Institutional agreements involving IBAP, DGFF and other key stakeholders</w:t>
            </w:r>
            <w:r w:rsidR="00A33DB9" w:rsidRPr="006F0F22">
              <w:rPr>
                <w:sz w:val="20"/>
                <w:szCs w:val="20"/>
                <w:lang w:val="en-GB"/>
              </w:rPr>
              <w:t xml:space="preserve"> do not function properly, undermining the effective governance and management of Cantanhez NP and </w:t>
            </w:r>
            <w:r w:rsidR="00101981" w:rsidRPr="006F0F22">
              <w:rPr>
                <w:sz w:val="20"/>
                <w:szCs w:val="20"/>
                <w:lang w:val="en-GB"/>
              </w:rPr>
              <w:t xml:space="preserve">of forests in </w:t>
            </w:r>
            <w:r w:rsidR="00A33DB9" w:rsidRPr="006F0F22">
              <w:rPr>
                <w:sz w:val="20"/>
                <w:szCs w:val="20"/>
                <w:lang w:val="en-GB"/>
              </w:rPr>
              <w:t>its periphery.</w:t>
            </w:r>
          </w:p>
          <w:p w:rsidR="000A5F4A" w:rsidRPr="006F0F22" w:rsidRDefault="000A5F4A" w:rsidP="00787E8B">
            <w:pPr>
              <w:tabs>
                <w:tab w:val="center" w:pos="4320"/>
                <w:tab w:val="right" w:pos="8640"/>
              </w:tabs>
              <w:ind w:left="-57" w:right="-57"/>
              <w:contextualSpacing/>
              <w:rPr>
                <w:sz w:val="20"/>
                <w:szCs w:val="20"/>
                <w:lang w:val="en-GB"/>
              </w:rPr>
            </w:pPr>
          </w:p>
        </w:tc>
        <w:tc>
          <w:tcPr>
            <w:tcW w:w="850" w:type="dxa"/>
          </w:tcPr>
          <w:p w:rsidR="000A5F4A" w:rsidRPr="006F0F22" w:rsidRDefault="00A33DB9" w:rsidP="00787E8B">
            <w:pPr>
              <w:tabs>
                <w:tab w:val="center" w:pos="4320"/>
                <w:tab w:val="right" w:pos="8640"/>
              </w:tabs>
              <w:ind w:left="-57" w:right="-57"/>
              <w:contextualSpacing/>
              <w:jc w:val="center"/>
              <w:rPr>
                <w:sz w:val="20"/>
                <w:szCs w:val="20"/>
                <w:lang w:val="en-GB"/>
              </w:rPr>
            </w:pPr>
            <w:r w:rsidRPr="006F0F22">
              <w:rPr>
                <w:sz w:val="20"/>
                <w:szCs w:val="20"/>
                <w:lang w:val="en-GB"/>
              </w:rPr>
              <w:t>High</w:t>
            </w:r>
          </w:p>
        </w:tc>
        <w:tc>
          <w:tcPr>
            <w:tcW w:w="7513" w:type="dxa"/>
          </w:tcPr>
          <w:p w:rsidR="000A5F4A" w:rsidRPr="006F0F22" w:rsidRDefault="00A33DB9" w:rsidP="00167329">
            <w:pPr>
              <w:tabs>
                <w:tab w:val="center" w:pos="4320"/>
                <w:tab w:val="right" w:pos="8640"/>
              </w:tabs>
              <w:ind w:left="-57" w:right="-57"/>
              <w:contextualSpacing/>
              <w:rPr>
                <w:sz w:val="20"/>
                <w:szCs w:val="20"/>
                <w:lang w:val="en-GB"/>
              </w:rPr>
            </w:pPr>
            <w:r w:rsidRPr="006F0F22">
              <w:rPr>
                <w:sz w:val="20"/>
                <w:szCs w:val="20"/>
                <w:lang w:val="en-GB"/>
              </w:rPr>
              <w:t>This is a critical element of the project. An effective collaborative framework between the two</w:t>
            </w:r>
            <w:r w:rsidR="00B2260A" w:rsidRPr="006F0F22">
              <w:rPr>
                <w:sz w:val="20"/>
                <w:szCs w:val="20"/>
                <w:lang w:val="en-GB"/>
              </w:rPr>
              <w:t xml:space="preserve"> lead</w:t>
            </w:r>
            <w:r w:rsidRPr="006F0F22">
              <w:rPr>
                <w:sz w:val="20"/>
                <w:szCs w:val="20"/>
                <w:lang w:val="en-GB"/>
              </w:rPr>
              <w:t xml:space="preserve"> institutions has not yet been put in</w:t>
            </w:r>
            <w:r w:rsidR="00B2260A" w:rsidRPr="006F0F22">
              <w:rPr>
                <w:sz w:val="20"/>
                <w:szCs w:val="20"/>
                <w:lang w:val="en-GB"/>
              </w:rPr>
              <w:t>to</w:t>
            </w:r>
            <w:r w:rsidRPr="006F0F22">
              <w:rPr>
                <w:sz w:val="20"/>
                <w:szCs w:val="20"/>
                <w:lang w:val="en-GB"/>
              </w:rPr>
              <w:t xml:space="preserve"> place and tested</w:t>
            </w:r>
            <w:r w:rsidR="00167329" w:rsidRPr="006F0F22">
              <w:rPr>
                <w:sz w:val="20"/>
                <w:szCs w:val="20"/>
                <w:lang w:val="en-GB"/>
              </w:rPr>
              <w:t>, and misaligned approaches prevail</w:t>
            </w:r>
            <w:r w:rsidRPr="006F0F22">
              <w:rPr>
                <w:sz w:val="20"/>
                <w:szCs w:val="20"/>
                <w:lang w:val="en-GB"/>
              </w:rPr>
              <w:t xml:space="preserve">. Hence, based on the precautionary principle, the risk is presently flagged as high. Great attention will be paid during the project preparation phase to coordinate closely with IBAP, DGFF and other key stakeholders at national, regional and local levels. Practical tools and formal protocols will be established to ensure the effective co-execution of the project by the two leading partner institutions. Joint training and capacity building are envisioned as well as the review of policy and legislative frameworks and of institutional </w:t>
            </w:r>
            <w:r w:rsidRPr="006F0F22">
              <w:rPr>
                <w:sz w:val="20"/>
                <w:szCs w:val="20"/>
                <w:lang w:val="en-GB"/>
              </w:rPr>
              <w:lastRenderedPageBreak/>
              <w:t>mandates, proposing amendments where appropriate</w:t>
            </w:r>
            <w:r w:rsidR="00167329" w:rsidRPr="006F0F22">
              <w:rPr>
                <w:sz w:val="20"/>
                <w:szCs w:val="20"/>
                <w:lang w:val="en-GB"/>
              </w:rPr>
              <w:t xml:space="preserve"> and in the clear interest of improved PA management and forest biodiversity conservation</w:t>
            </w:r>
            <w:r w:rsidRPr="006F0F22">
              <w:rPr>
                <w:sz w:val="20"/>
                <w:szCs w:val="20"/>
                <w:lang w:val="en-GB"/>
              </w:rPr>
              <w:t>.</w:t>
            </w:r>
            <w:r w:rsidR="00073384" w:rsidRPr="006F0F22">
              <w:rPr>
                <w:sz w:val="22"/>
                <w:szCs w:val="22"/>
                <w:lang w:val="en-GB"/>
              </w:rPr>
              <w:t xml:space="preserve"> </w:t>
            </w:r>
          </w:p>
        </w:tc>
      </w:tr>
      <w:tr w:rsidR="00A33DB9" w:rsidRPr="006F0F22" w:rsidTr="00520DED">
        <w:tc>
          <w:tcPr>
            <w:tcW w:w="2694" w:type="dxa"/>
            <w:shd w:val="clear" w:color="auto" w:fill="auto"/>
          </w:tcPr>
          <w:p w:rsidR="00A33DB9" w:rsidRPr="006F0F22" w:rsidRDefault="00F91417" w:rsidP="00EF6FE8">
            <w:pPr>
              <w:tabs>
                <w:tab w:val="center" w:pos="4320"/>
                <w:tab w:val="right" w:pos="8640"/>
              </w:tabs>
              <w:ind w:left="-57" w:right="-57"/>
              <w:contextualSpacing/>
              <w:rPr>
                <w:sz w:val="20"/>
                <w:szCs w:val="20"/>
                <w:u w:val="single"/>
                <w:lang w:val="en-GB"/>
              </w:rPr>
            </w:pPr>
            <w:r w:rsidRPr="006F0F22">
              <w:rPr>
                <w:sz w:val="20"/>
                <w:szCs w:val="20"/>
                <w:lang w:val="en-GB"/>
              </w:rPr>
              <w:lastRenderedPageBreak/>
              <w:t>4</w:t>
            </w:r>
            <w:r w:rsidR="00D25E4C" w:rsidRPr="006F0F22">
              <w:rPr>
                <w:sz w:val="20"/>
                <w:szCs w:val="20"/>
                <w:lang w:val="en-GB"/>
              </w:rPr>
              <w:t xml:space="preserve">. </w:t>
            </w:r>
            <w:r w:rsidR="00B2260A" w:rsidRPr="006F0F22">
              <w:rPr>
                <w:sz w:val="20"/>
                <w:szCs w:val="20"/>
                <w:lang w:val="en-GB"/>
              </w:rPr>
              <w:t xml:space="preserve">The </w:t>
            </w:r>
            <w:r w:rsidR="00B2260A" w:rsidRPr="006F0F22">
              <w:rPr>
                <w:sz w:val="20"/>
                <w:szCs w:val="20"/>
                <w:u w:val="single"/>
                <w:lang w:val="en-GB"/>
              </w:rPr>
              <w:t>impacts of large-scale enterprises</w:t>
            </w:r>
            <w:r w:rsidR="00B2260A" w:rsidRPr="006F0F22">
              <w:rPr>
                <w:sz w:val="20"/>
                <w:szCs w:val="20"/>
                <w:lang w:val="en-GB"/>
              </w:rPr>
              <w:t xml:space="preserve"> in sectors such as logging or mining</w:t>
            </w:r>
            <w:r w:rsidR="00EF6FE8" w:rsidRPr="006F0F22">
              <w:rPr>
                <w:sz w:val="20"/>
                <w:szCs w:val="20"/>
                <w:lang w:val="en-GB"/>
              </w:rPr>
              <w:t xml:space="preserve"> </w:t>
            </w:r>
            <w:r w:rsidR="00B2260A" w:rsidRPr="006F0F22">
              <w:rPr>
                <w:sz w:val="20"/>
                <w:szCs w:val="20"/>
                <w:lang w:val="en-GB"/>
              </w:rPr>
              <w:t xml:space="preserve">reduce the viability for biodiversity conservation of Cantanhez NP and </w:t>
            </w:r>
            <w:r w:rsidR="00381042" w:rsidRPr="006F0F22">
              <w:rPr>
                <w:sz w:val="20"/>
                <w:szCs w:val="20"/>
                <w:lang w:val="en-GB"/>
              </w:rPr>
              <w:t xml:space="preserve">of </w:t>
            </w:r>
            <w:r w:rsidR="00B2260A" w:rsidRPr="006F0F22">
              <w:rPr>
                <w:sz w:val="20"/>
                <w:szCs w:val="20"/>
                <w:lang w:val="en-GB"/>
              </w:rPr>
              <w:t xml:space="preserve">connected buffer areas and biological corridors. </w:t>
            </w:r>
          </w:p>
        </w:tc>
        <w:tc>
          <w:tcPr>
            <w:tcW w:w="850" w:type="dxa"/>
          </w:tcPr>
          <w:p w:rsidR="00A33DB9" w:rsidRPr="006F0F22" w:rsidRDefault="00B2260A" w:rsidP="00787E8B">
            <w:pPr>
              <w:tabs>
                <w:tab w:val="center" w:pos="4320"/>
                <w:tab w:val="right" w:pos="8640"/>
              </w:tabs>
              <w:ind w:left="-57" w:right="-57"/>
              <w:contextualSpacing/>
              <w:jc w:val="center"/>
              <w:rPr>
                <w:sz w:val="20"/>
                <w:szCs w:val="20"/>
                <w:lang w:val="en-GB"/>
              </w:rPr>
            </w:pPr>
            <w:r w:rsidRPr="006F0F22">
              <w:rPr>
                <w:sz w:val="20"/>
                <w:szCs w:val="20"/>
                <w:lang w:val="en-GB"/>
              </w:rPr>
              <w:t>Medium</w:t>
            </w:r>
          </w:p>
        </w:tc>
        <w:tc>
          <w:tcPr>
            <w:tcW w:w="7513" w:type="dxa"/>
          </w:tcPr>
          <w:p w:rsidR="00A33DB9" w:rsidRPr="006F0F22" w:rsidRDefault="00EF6FE8" w:rsidP="005344A6">
            <w:pPr>
              <w:tabs>
                <w:tab w:val="center" w:pos="4320"/>
                <w:tab w:val="right" w:pos="8640"/>
              </w:tabs>
              <w:ind w:left="-57" w:right="-57"/>
              <w:contextualSpacing/>
              <w:rPr>
                <w:sz w:val="20"/>
                <w:szCs w:val="20"/>
                <w:lang w:val="en-GB"/>
              </w:rPr>
            </w:pPr>
            <w:r w:rsidRPr="006F0F22">
              <w:rPr>
                <w:sz w:val="20"/>
                <w:szCs w:val="20"/>
                <w:lang w:val="en-GB"/>
              </w:rPr>
              <w:t>This risk is precisely why this project in Cantanhez NP is so critically important – and enhanced PA management and law enforcement in conjunction with already sensitised communities is the best response. S</w:t>
            </w:r>
            <w:r w:rsidR="00E17A3A" w:rsidRPr="006F0F22">
              <w:rPr>
                <w:sz w:val="20"/>
                <w:szCs w:val="20"/>
                <w:lang w:val="en-GB"/>
              </w:rPr>
              <w:t xml:space="preserve">pecific training and capacity building measures on Environmental Impact Assessment (EIA) and the licensing and monitoring of economic activities will target PA staff and personnel from IBAP and DGFF at regional and national levels. In addition, the participation of the national Environmental Impact Assessment Unit (CAIA), attached to </w:t>
            </w:r>
            <w:r w:rsidR="008D792C" w:rsidRPr="006F0F22">
              <w:rPr>
                <w:sz w:val="20"/>
                <w:szCs w:val="20"/>
                <w:lang w:val="en-GB"/>
              </w:rPr>
              <w:t>the</w:t>
            </w:r>
            <w:r w:rsidR="001D03D3" w:rsidRPr="006F0F22">
              <w:rPr>
                <w:sz w:val="20"/>
                <w:szCs w:val="20"/>
                <w:lang w:val="en-GB"/>
              </w:rPr>
              <w:t xml:space="preserve"> </w:t>
            </w:r>
            <w:r w:rsidR="005344A6" w:rsidRPr="006F0F22">
              <w:rPr>
                <w:sz w:val="20"/>
                <w:szCs w:val="20"/>
                <w:lang w:val="en-GB"/>
              </w:rPr>
              <w:t xml:space="preserve">State Secretariat for Environment and Tourism </w:t>
            </w:r>
            <w:r w:rsidR="008D792C" w:rsidRPr="006F0F22">
              <w:rPr>
                <w:sz w:val="20"/>
                <w:szCs w:val="20"/>
                <w:lang w:val="en-GB"/>
              </w:rPr>
              <w:t>(SEAT)</w:t>
            </w:r>
            <w:r w:rsidR="00E17A3A" w:rsidRPr="006F0F22">
              <w:rPr>
                <w:sz w:val="20"/>
                <w:szCs w:val="20"/>
                <w:lang w:val="en-GB"/>
              </w:rPr>
              <w:t>, will be actively sought during project preparation and throughout the implementation phase</w:t>
            </w:r>
            <w:r w:rsidR="00175A9F" w:rsidRPr="006F0F22">
              <w:rPr>
                <w:sz w:val="20"/>
                <w:szCs w:val="20"/>
                <w:lang w:val="en-GB"/>
              </w:rPr>
              <w:t>.</w:t>
            </w:r>
          </w:p>
        </w:tc>
      </w:tr>
      <w:tr w:rsidR="002D65C2" w:rsidRPr="006F0F22" w:rsidTr="00520DED">
        <w:tc>
          <w:tcPr>
            <w:tcW w:w="2694" w:type="dxa"/>
          </w:tcPr>
          <w:p w:rsidR="002D65C2" w:rsidRPr="006F0F22" w:rsidRDefault="00F91417" w:rsidP="00787E8B">
            <w:pPr>
              <w:tabs>
                <w:tab w:val="center" w:pos="4320"/>
                <w:tab w:val="right" w:pos="8640"/>
              </w:tabs>
              <w:ind w:left="-57" w:right="-57"/>
              <w:contextualSpacing/>
              <w:rPr>
                <w:sz w:val="20"/>
                <w:szCs w:val="20"/>
                <w:lang w:val="en-GB"/>
              </w:rPr>
            </w:pPr>
            <w:r w:rsidRPr="006F0F22">
              <w:rPr>
                <w:rFonts w:eastAsia="Calibri"/>
                <w:sz w:val="20"/>
                <w:szCs w:val="20"/>
                <w:lang w:val="en-GB"/>
              </w:rPr>
              <w:t>5</w:t>
            </w:r>
            <w:r w:rsidR="00D25E4C" w:rsidRPr="006F0F22">
              <w:rPr>
                <w:rFonts w:eastAsia="Calibri"/>
                <w:sz w:val="20"/>
                <w:szCs w:val="20"/>
                <w:lang w:val="en-GB"/>
              </w:rPr>
              <w:t xml:space="preserve">. </w:t>
            </w:r>
            <w:r w:rsidR="00D2781A" w:rsidRPr="006F0F22">
              <w:rPr>
                <w:rFonts w:eastAsia="Calibri"/>
                <w:sz w:val="20"/>
                <w:szCs w:val="20"/>
                <w:lang w:val="en-GB"/>
              </w:rPr>
              <w:t>Political and institutional instability disrupts minimal governance conditions necessary for project implementation</w:t>
            </w:r>
          </w:p>
        </w:tc>
        <w:tc>
          <w:tcPr>
            <w:tcW w:w="850" w:type="dxa"/>
          </w:tcPr>
          <w:p w:rsidR="002D65C2" w:rsidRPr="006F0F22" w:rsidRDefault="00A54343" w:rsidP="00787E8B">
            <w:pPr>
              <w:tabs>
                <w:tab w:val="center" w:pos="4320"/>
                <w:tab w:val="right" w:pos="8640"/>
              </w:tabs>
              <w:ind w:left="-57" w:right="-57"/>
              <w:contextualSpacing/>
              <w:jc w:val="center"/>
              <w:rPr>
                <w:sz w:val="20"/>
                <w:szCs w:val="20"/>
                <w:lang w:val="en-GB"/>
              </w:rPr>
            </w:pPr>
            <w:r w:rsidRPr="006F0F22">
              <w:rPr>
                <w:sz w:val="20"/>
                <w:szCs w:val="20"/>
                <w:lang w:val="en-GB"/>
              </w:rPr>
              <w:t>Medium-</w:t>
            </w:r>
            <w:r w:rsidR="002D65C2" w:rsidRPr="006F0F22">
              <w:rPr>
                <w:sz w:val="20"/>
                <w:szCs w:val="20"/>
                <w:lang w:val="en-GB"/>
              </w:rPr>
              <w:t>High</w:t>
            </w:r>
          </w:p>
        </w:tc>
        <w:tc>
          <w:tcPr>
            <w:tcW w:w="7513" w:type="dxa"/>
          </w:tcPr>
          <w:p w:rsidR="002D65C2" w:rsidRPr="006F0F22" w:rsidRDefault="002D65C2" w:rsidP="00977292">
            <w:pPr>
              <w:tabs>
                <w:tab w:val="center" w:pos="4320"/>
                <w:tab w:val="right" w:pos="8640"/>
              </w:tabs>
              <w:ind w:left="-57" w:right="-57"/>
              <w:contextualSpacing/>
              <w:rPr>
                <w:sz w:val="20"/>
                <w:szCs w:val="20"/>
                <w:lang w:val="en-GB"/>
              </w:rPr>
            </w:pPr>
            <w:r w:rsidRPr="006F0F22">
              <w:rPr>
                <w:sz w:val="20"/>
                <w:szCs w:val="20"/>
                <w:lang w:val="en-GB"/>
              </w:rPr>
              <w:t>Although new elections are expected before th</w:t>
            </w:r>
            <w:r w:rsidR="00187F4F" w:rsidRPr="006F0F22">
              <w:rPr>
                <w:sz w:val="20"/>
                <w:szCs w:val="20"/>
                <w:lang w:val="en-GB"/>
              </w:rPr>
              <w:t>e end of December</w:t>
            </w:r>
            <w:r w:rsidRPr="006F0F22">
              <w:rPr>
                <w:sz w:val="20"/>
                <w:szCs w:val="20"/>
                <w:lang w:val="en-GB"/>
              </w:rPr>
              <w:t xml:space="preserve"> 2013, the political situation remains unstable and this may affect the enforcement of existing PAs.</w:t>
            </w:r>
            <w:r w:rsidR="005B1272" w:rsidRPr="006F0F22">
              <w:rPr>
                <w:sz w:val="20"/>
                <w:szCs w:val="20"/>
                <w:lang w:val="en-GB"/>
              </w:rPr>
              <w:t xml:space="preserve"> However, </w:t>
            </w:r>
            <w:r w:rsidR="00977292" w:rsidRPr="006F0F22">
              <w:rPr>
                <w:sz w:val="20"/>
                <w:szCs w:val="20"/>
                <w:lang w:val="en-GB"/>
              </w:rPr>
              <w:t xml:space="preserve">even if minor disruptions may occur and cannot be prevented, </w:t>
            </w:r>
            <w:r w:rsidR="005B1272" w:rsidRPr="006F0F22">
              <w:rPr>
                <w:sz w:val="20"/>
                <w:szCs w:val="20"/>
                <w:lang w:val="en-GB"/>
              </w:rPr>
              <w:t>IBAP has effectively operated under similar conditions in the past wherefore</w:t>
            </w:r>
            <w:r w:rsidR="00FD3248" w:rsidRPr="006F0F22">
              <w:rPr>
                <w:sz w:val="20"/>
                <w:szCs w:val="20"/>
                <w:lang w:val="en-GB"/>
              </w:rPr>
              <w:t xml:space="preserve"> the risk appears manageable.</w:t>
            </w:r>
          </w:p>
        </w:tc>
      </w:tr>
      <w:tr w:rsidR="00785374" w:rsidRPr="006F0F22" w:rsidTr="00520DED">
        <w:tc>
          <w:tcPr>
            <w:tcW w:w="2694" w:type="dxa"/>
          </w:tcPr>
          <w:p w:rsidR="00785374" w:rsidRPr="006F0F22" w:rsidRDefault="00F91417" w:rsidP="00AC7B15">
            <w:pPr>
              <w:tabs>
                <w:tab w:val="center" w:pos="4320"/>
                <w:tab w:val="right" w:pos="8640"/>
              </w:tabs>
              <w:ind w:left="-57" w:right="-57"/>
              <w:contextualSpacing/>
              <w:rPr>
                <w:rFonts w:eastAsia="Calibri"/>
                <w:sz w:val="20"/>
                <w:szCs w:val="20"/>
                <w:lang w:val="en-GB"/>
              </w:rPr>
            </w:pPr>
            <w:r w:rsidRPr="006F0F22">
              <w:rPr>
                <w:rFonts w:eastAsia="Calibri"/>
                <w:sz w:val="20"/>
                <w:szCs w:val="20"/>
                <w:lang w:val="en-GB"/>
              </w:rPr>
              <w:t>6</w:t>
            </w:r>
            <w:r w:rsidR="00D25E4C" w:rsidRPr="006F0F22">
              <w:rPr>
                <w:rFonts w:eastAsia="Calibri"/>
                <w:sz w:val="20"/>
                <w:szCs w:val="20"/>
                <w:lang w:val="en-GB"/>
              </w:rPr>
              <w:t xml:space="preserve">. </w:t>
            </w:r>
            <w:r w:rsidR="00785374" w:rsidRPr="006F0F22">
              <w:rPr>
                <w:rFonts w:eastAsia="Calibri"/>
                <w:sz w:val="20"/>
                <w:szCs w:val="20"/>
                <w:lang w:val="en-GB"/>
              </w:rPr>
              <w:t xml:space="preserve">Climate change could have a negative impact upon key biodiversity and </w:t>
            </w:r>
            <w:r w:rsidR="00AC7B15" w:rsidRPr="006F0F22">
              <w:rPr>
                <w:rFonts w:eastAsia="Calibri"/>
                <w:sz w:val="20"/>
                <w:szCs w:val="20"/>
                <w:lang w:val="en-GB"/>
              </w:rPr>
              <w:t xml:space="preserve">ecosystems </w:t>
            </w:r>
            <w:r w:rsidR="00785374" w:rsidRPr="006F0F22">
              <w:rPr>
                <w:rFonts w:eastAsia="Calibri"/>
                <w:sz w:val="20"/>
                <w:szCs w:val="20"/>
                <w:lang w:val="en-GB"/>
              </w:rPr>
              <w:t>in Guinea-Bissau in general and in Cantanhez NP and adjacent areas in particular</w:t>
            </w:r>
            <w:r w:rsidR="00AC7B15" w:rsidRPr="006F0F22">
              <w:rPr>
                <w:rFonts w:eastAsia="Calibri"/>
                <w:sz w:val="20"/>
                <w:szCs w:val="20"/>
                <w:lang w:val="en-GB"/>
              </w:rPr>
              <w:t>, undermining project achievements.</w:t>
            </w:r>
          </w:p>
        </w:tc>
        <w:tc>
          <w:tcPr>
            <w:tcW w:w="850" w:type="dxa"/>
          </w:tcPr>
          <w:p w:rsidR="00785374" w:rsidRPr="006F0F22" w:rsidRDefault="00785374" w:rsidP="000F1FF6">
            <w:pPr>
              <w:tabs>
                <w:tab w:val="center" w:pos="4320"/>
                <w:tab w:val="right" w:pos="8640"/>
              </w:tabs>
              <w:ind w:left="-57" w:right="-57"/>
              <w:contextualSpacing/>
              <w:rPr>
                <w:rFonts w:eastAsia="Calibri"/>
                <w:sz w:val="20"/>
                <w:szCs w:val="20"/>
                <w:lang w:val="en-GB"/>
              </w:rPr>
            </w:pPr>
            <w:r w:rsidRPr="006F0F22">
              <w:rPr>
                <w:rFonts w:eastAsia="Calibri"/>
                <w:sz w:val="20"/>
                <w:szCs w:val="20"/>
                <w:lang w:val="en-GB"/>
              </w:rPr>
              <w:t>Low</w:t>
            </w:r>
          </w:p>
        </w:tc>
        <w:tc>
          <w:tcPr>
            <w:tcW w:w="7513" w:type="dxa"/>
          </w:tcPr>
          <w:p w:rsidR="00785374" w:rsidRPr="006F0F22" w:rsidRDefault="001F7237" w:rsidP="002079D2">
            <w:pPr>
              <w:tabs>
                <w:tab w:val="center" w:pos="4320"/>
                <w:tab w:val="right" w:pos="8640"/>
              </w:tabs>
              <w:ind w:left="-57" w:right="-57"/>
              <w:contextualSpacing/>
              <w:rPr>
                <w:rFonts w:eastAsia="Calibri"/>
                <w:sz w:val="20"/>
                <w:szCs w:val="20"/>
                <w:lang w:val="en-GB"/>
              </w:rPr>
            </w:pPr>
            <w:r w:rsidRPr="006F0F22">
              <w:rPr>
                <w:rFonts w:eastAsia="Calibri"/>
                <w:sz w:val="20"/>
                <w:szCs w:val="20"/>
                <w:lang w:val="en-GB"/>
              </w:rPr>
              <w:t xml:space="preserve">Little </w:t>
            </w:r>
            <w:r w:rsidR="00AC7B15" w:rsidRPr="006F0F22">
              <w:rPr>
                <w:rFonts w:eastAsia="Calibri"/>
                <w:sz w:val="20"/>
                <w:szCs w:val="20"/>
                <w:lang w:val="en-GB"/>
              </w:rPr>
              <w:t xml:space="preserve">specific </w:t>
            </w:r>
            <w:r w:rsidR="00785374" w:rsidRPr="006F0F22">
              <w:rPr>
                <w:rFonts w:eastAsia="Calibri"/>
                <w:sz w:val="20"/>
                <w:szCs w:val="20"/>
                <w:lang w:val="en-GB"/>
              </w:rPr>
              <w:t xml:space="preserve">information </w:t>
            </w:r>
            <w:r w:rsidR="00AC7B15" w:rsidRPr="006F0F22">
              <w:rPr>
                <w:rFonts w:eastAsia="Calibri"/>
                <w:sz w:val="20"/>
                <w:szCs w:val="20"/>
                <w:lang w:val="en-GB"/>
              </w:rPr>
              <w:t xml:space="preserve">and projections </w:t>
            </w:r>
            <w:r w:rsidRPr="006F0F22">
              <w:rPr>
                <w:rFonts w:eastAsia="Calibri"/>
                <w:sz w:val="20"/>
                <w:szCs w:val="20"/>
                <w:lang w:val="en-GB"/>
              </w:rPr>
              <w:t xml:space="preserve">relating to climate change impacts on biodiversity are available for Guinea-Bissau. Some of the trends </w:t>
            </w:r>
            <w:r w:rsidR="002A7E4C" w:rsidRPr="006F0F22">
              <w:rPr>
                <w:rFonts w:eastAsia="Calibri"/>
                <w:sz w:val="20"/>
                <w:szCs w:val="20"/>
                <w:lang w:val="en-GB"/>
              </w:rPr>
              <w:t xml:space="preserve">that can reasonably be expected </w:t>
            </w:r>
            <w:r w:rsidRPr="006F0F22">
              <w:rPr>
                <w:rFonts w:eastAsia="Calibri"/>
                <w:sz w:val="20"/>
                <w:szCs w:val="20"/>
                <w:lang w:val="en-GB"/>
              </w:rPr>
              <w:t xml:space="preserve">are related to increasing sea level and wave energy causing </w:t>
            </w:r>
            <w:r w:rsidR="00A43F71" w:rsidRPr="006F0F22">
              <w:rPr>
                <w:rFonts w:eastAsia="Calibri"/>
                <w:sz w:val="20"/>
                <w:szCs w:val="20"/>
                <w:lang w:val="en-GB"/>
              </w:rPr>
              <w:t xml:space="preserve">coastal-zone </w:t>
            </w:r>
            <w:r w:rsidRPr="006F0F22">
              <w:rPr>
                <w:rFonts w:eastAsia="Calibri"/>
                <w:sz w:val="20"/>
                <w:szCs w:val="20"/>
                <w:lang w:val="en-GB"/>
              </w:rPr>
              <w:t>erosion</w:t>
            </w:r>
            <w:r w:rsidR="00DB1B70" w:rsidRPr="006F0F22">
              <w:rPr>
                <w:rFonts w:eastAsia="Calibri"/>
                <w:sz w:val="20"/>
                <w:szCs w:val="20"/>
                <w:lang w:val="en-GB"/>
              </w:rPr>
              <w:t xml:space="preserve"> and salt water intrusion</w:t>
            </w:r>
            <w:r w:rsidRPr="006F0F22">
              <w:rPr>
                <w:rFonts w:eastAsia="Calibri"/>
                <w:sz w:val="20"/>
                <w:szCs w:val="20"/>
                <w:lang w:val="en-GB"/>
              </w:rPr>
              <w:t xml:space="preserve">, increased desertification and more frequent uncontrolled fires, and </w:t>
            </w:r>
            <w:r w:rsidR="002A7E4C" w:rsidRPr="006F0F22">
              <w:rPr>
                <w:rFonts w:eastAsia="Calibri"/>
                <w:sz w:val="20"/>
                <w:szCs w:val="20"/>
                <w:lang w:val="en-GB"/>
              </w:rPr>
              <w:t>changes in ecological communities and ecosystem functionality</w:t>
            </w:r>
            <w:r w:rsidRPr="006F0F22">
              <w:rPr>
                <w:rFonts w:eastAsia="Calibri"/>
                <w:sz w:val="20"/>
                <w:szCs w:val="20"/>
                <w:lang w:val="en-GB"/>
              </w:rPr>
              <w:t>.</w:t>
            </w:r>
            <w:r w:rsidR="002A7E4C" w:rsidRPr="006F0F22">
              <w:rPr>
                <w:rFonts w:eastAsia="Calibri"/>
                <w:sz w:val="20"/>
                <w:szCs w:val="20"/>
                <w:lang w:val="en-GB"/>
              </w:rPr>
              <w:t xml:space="preserve"> However the national PA system that the </w:t>
            </w:r>
            <w:r w:rsidR="00A43F71" w:rsidRPr="006F0F22">
              <w:rPr>
                <w:rFonts w:eastAsia="Calibri"/>
                <w:sz w:val="20"/>
                <w:szCs w:val="20"/>
                <w:lang w:val="en-GB"/>
              </w:rPr>
              <w:t xml:space="preserve">Government of </w:t>
            </w:r>
            <w:r w:rsidR="002A7E4C" w:rsidRPr="006F0F22">
              <w:rPr>
                <w:rFonts w:eastAsia="Calibri"/>
                <w:sz w:val="20"/>
                <w:szCs w:val="20"/>
                <w:lang w:val="en-GB"/>
              </w:rPr>
              <w:t>Guinea</w:t>
            </w:r>
            <w:r w:rsidR="00A43F71" w:rsidRPr="006F0F22">
              <w:rPr>
                <w:rFonts w:eastAsia="Calibri"/>
                <w:sz w:val="20"/>
                <w:szCs w:val="20"/>
                <w:lang w:val="en-GB"/>
              </w:rPr>
              <w:t>-</w:t>
            </w:r>
            <w:r w:rsidR="002A7E4C" w:rsidRPr="006F0F22">
              <w:rPr>
                <w:rFonts w:eastAsia="Calibri"/>
                <w:sz w:val="20"/>
                <w:szCs w:val="20"/>
                <w:lang w:val="en-GB"/>
              </w:rPr>
              <w:t>Bissau has established and whose management is assured through IBAP, besides covering an important portion of the country’s territory</w:t>
            </w:r>
            <w:r w:rsidR="00B612E1" w:rsidRPr="006F0F22">
              <w:rPr>
                <w:rFonts w:eastAsia="Calibri"/>
                <w:sz w:val="20"/>
                <w:szCs w:val="20"/>
                <w:lang w:val="en-GB"/>
              </w:rPr>
              <w:t>,</w:t>
            </w:r>
            <w:r w:rsidR="002A7E4C" w:rsidRPr="006F0F22">
              <w:rPr>
                <w:rFonts w:eastAsia="Calibri"/>
                <w:sz w:val="20"/>
                <w:szCs w:val="20"/>
                <w:lang w:val="en-GB"/>
              </w:rPr>
              <w:t xml:space="preserve"> also </w:t>
            </w:r>
            <w:r w:rsidR="00A43F71" w:rsidRPr="006F0F22">
              <w:rPr>
                <w:rFonts w:eastAsia="Calibri"/>
                <w:sz w:val="20"/>
                <w:szCs w:val="20"/>
                <w:lang w:val="en-GB"/>
              </w:rPr>
              <w:t xml:space="preserve">makes </w:t>
            </w:r>
            <w:r w:rsidR="00B612E1" w:rsidRPr="006F0F22">
              <w:rPr>
                <w:rFonts w:eastAsia="Calibri"/>
                <w:sz w:val="20"/>
                <w:szCs w:val="20"/>
                <w:lang w:val="en-GB"/>
              </w:rPr>
              <w:t xml:space="preserve">ample </w:t>
            </w:r>
            <w:r w:rsidR="00A43F71" w:rsidRPr="006F0F22">
              <w:rPr>
                <w:rFonts w:eastAsia="Calibri"/>
                <w:sz w:val="20"/>
                <w:szCs w:val="20"/>
                <w:lang w:val="en-GB"/>
              </w:rPr>
              <w:t xml:space="preserve">provisions for </w:t>
            </w:r>
            <w:r w:rsidR="002A7E4C" w:rsidRPr="006F0F22">
              <w:rPr>
                <w:rFonts w:eastAsia="Calibri"/>
                <w:sz w:val="20"/>
                <w:szCs w:val="20"/>
                <w:lang w:val="en-GB"/>
              </w:rPr>
              <w:t xml:space="preserve">ecological corridors </w:t>
            </w:r>
            <w:r w:rsidR="00B612E1" w:rsidRPr="006F0F22">
              <w:rPr>
                <w:rFonts w:eastAsia="Calibri"/>
                <w:sz w:val="20"/>
                <w:szCs w:val="20"/>
                <w:lang w:val="en-GB"/>
              </w:rPr>
              <w:t xml:space="preserve">between individual PAs </w:t>
            </w:r>
            <w:r w:rsidR="00A43F71" w:rsidRPr="006F0F22">
              <w:rPr>
                <w:rFonts w:eastAsia="Calibri"/>
                <w:sz w:val="20"/>
                <w:szCs w:val="20"/>
                <w:lang w:val="en-GB"/>
              </w:rPr>
              <w:t xml:space="preserve">that are expected to increase </w:t>
            </w:r>
            <w:r w:rsidR="00EF2CB6" w:rsidRPr="006F0F22">
              <w:rPr>
                <w:rFonts w:eastAsia="Calibri"/>
                <w:sz w:val="20"/>
                <w:szCs w:val="20"/>
                <w:lang w:val="en-GB"/>
              </w:rPr>
              <w:t xml:space="preserve">the </w:t>
            </w:r>
            <w:r w:rsidR="00A43F71" w:rsidRPr="006F0F22">
              <w:rPr>
                <w:rFonts w:eastAsia="Calibri"/>
                <w:sz w:val="20"/>
                <w:szCs w:val="20"/>
                <w:lang w:val="en-GB"/>
              </w:rPr>
              <w:t>resilience of the ecological systems and its constituent species.</w:t>
            </w:r>
            <w:r w:rsidR="00FF0F60" w:rsidRPr="006F0F22">
              <w:rPr>
                <w:rFonts w:eastAsia="Calibri"/>
                <w:sz w:val="20"/>
                <w:szCs w:val="20"/>
                <w:lang w:val="en-GB"/>
              </w:rPr>
              <w:t xml:space="preserve"> The extensive mangrove areas </w:t>
            </w:r>
            <w:r w:rsidR="00DB1B70" w:rsidRPr="006F0F22">
              <w:rPr>
                <w:rFonts w:eastAsia="Calibri"/>
                <w:sz w:val="20"/>
                <w:szCs w:val="20"/>
                <w:lang w:val="en-GB"/>
              </w:rPr>
              <w:t xml:space="preserve">remaining in the country (and which are well covered </w:t>
            </w:r>
            <w:r w:rsidR="000F1FF6" w:rsidRPr="006F0F22">
              <w:rPr>
                <w:rFonts w:eastAsia="Calibri"/>
                <w:sz w:val="20"/>
                <w:szCs w:val="20"/>
                <w:lang w:val="en-GB"/>
              </w:rPr>
              <w:t>in the PA system</w:t>
            </w:r>
            <w:r w:rsidR="00DB1B70" w:rsidRPr="006F0F22">
              <w:rPr>
                <w:rFonts w:eastAsia="Calibri"/>
                <w:sz w:val="20"/>
                <w:szCs w:val="20"/>
                <w:lang w:val="en-GB"/>
              </w:rPr>
              <w:t>)</w:t>
            </w:r>
            <w:r w:rsidR="000F1FF6" w:rsidRPr="006F0F22">
              <w:rPr>
                <w:rFonts w:eastAsia="Calibri"/>
                <w:sz w:val="20"/>
                <w:szCs w:val="20"/>
                <w:lang w:val="en-GB"/>
              </w:rPr>
              <w:t xml:space="preserve"> mitigate the impact in terms of coastal erosion. </w:t>
            </w:r>
            <w:r w:rsidR="00FF0F60" w:rsidRPr="006F0F22">
              <w:rPr>
                <w:rFonts w:eastAsia="Calibri"/>
                <w:sz w:val="20"/>
                <w:szCs w:val="20"/>
                <w:lang w:val="en-GB"/>
              </w:rPr>
              <w:t>In Cantanhez NP</w:t>
            </w:r>
            <w:r w:rsidR="000F1FF6" w:rsidRPr="006F0F22">
              <w:rPr>
                <w:rFonts w:eastAsia="Calibri"/>
                <w:sz w:val="20"/>
                <w:szCs w:val="20"/>
                <w:lang w:val="en-GB"/>
              </w:rPr>
              <w:t xml:space="preserve"> specifically</w:t>
            </w:r>
            <w:r w:rsidR="00FF0F60" w:rsidRPr="006F0F22">
              <w:rPr>
                <w:rFonts w:eastAsia="Calibri"/>
                <w:sz w:val="20"/>
                <w:szCs w:val="20"/>
                <w:lang w:val="en-GB"/>
              </w:rPr>
              <w:t xml:space="preserve">, the PA management plan in its updated version will </w:t>
            </w:r>
            <w:r w:rsidR="00E44F53" w:rsidRPr="006F0F22">
              <w:rPr>
                <w:rFonts w:eastAsia="Calibri"/>
                <w:sz w:val="20"/>
                <w:szCs w:val="20"/>
                <w:lang w:val="en-GB"/>
              </w:rPr>
              <w:t xml:space="preserve">integrate climate change considerations </w:t>
            </w:r>
            <w:r w:rsidR="00FF0F60" w:rsidRPr="006F0F22">
              <w:rPr>
                <w:rFonts w:eastAsia="Calibri"/>
                <w:sz w:val="20"/>
                <w:szCs w:val="20"/>
                <w:lang w:val="en-GB"/>
              </w:rPr>
              <w:t xml:space="preserve">in terms </w:t>
            </w:r>
            <w:r w:rsidR="000F1FF6" w:rsidRPr="006F0F22">
              <w:rPr>
                <w:rFonts w:eastAsia="Calibri"/>
                <w:sz w:val="20"/>
                <w:szCs w:val="20"/>
                <w:lang w:val="en-GB"/>
              </w:rPr>
              <w:t>o</w:t>
            </w:r>
            <w:r w:rsidR="00FF0F60" w:rsidRPr="006F0F22">
              <w:rPr>
                <w:rFonts w:eastAsia="Calibri"/>
                <w:sz w:val="20"/>
                <w:szCs w:val="20"/>
                <w:lang w:val="en-GB"/>
              </w:rPr>
              <w:t>f ada</w:t>
            </w:r>
            <w:r w:rsidR="000F1FF6" w:rsidRPr="006F0F22">
              <w:rPr>
                <w:rFonts w:eastAsia="Calibri"/>
                <w:sz w:val="20"/>
                <w:szCs w:val="20"/>
                <w:lang w:val="en-GB"/>
              </w:rPr>
              <w:t>p</w:t>
            </w:r>
            <w:r w:rsidR="00FF0F60" w:rsidRPr="006F0F22">
              <w:rPr>
                <w:rFonts w:eastAsia="Calibri"/>
                <w:sz w:val="20"/>
                <w:szCs w:val="20"/>
                <w:lang w:val="en-GB"/>
              </w:rPr>
              <w:t>tive management</w:t>
            </w:r>
            <w:r w:rsidR="00EF2CB6" w:rsidRPr="006F0F22">
              <w:rPr>
                <w:rFonts w:eastAsia="Calibri"/>
                <w:sz w:val="20"/>
                <w:szCs w:val="20"/>
                <w:lang w:val="en-GB"/>
              </w:rPr>
              <w:t xml:space="preserve"> of biodiversity </w:t>
            </w:r>
            <w:r w:rsidR="00FF0F60" w:rsidRPr="006F0F22">
              <w:rPr>
                <w:rFonts w:eastAsia="Calibri"/>
                <w:sz w:val="20"/>
                <w:szCs w:val="20"/>
                <w:lang w:val="en-GB"/>
              </w:rPr>
              <w:t xml:space="preserve">and </w:t>
            </w:r>
            <w:r w:rsidR="004D5D3A" w:rsidRPr="006F0F22">
              <w:rPr>
                <w:rFonts w:eastAsia="Calibri"/>
                <w:sz w:val="20"/>
                <w:szCs w:val="20"/>
                <w:lang w:val="en-GB"/>
              </w:rPr>
              <w:t xml:space="preserve">natural </w:t>
            </w:r>
            <w:r w:rsidR="00FF0F60" w:rsidRPr="006F0F22">
              <w:rPr>
                <w:rFonts w:eastAsia="Calibri"/>
                <w:sz w:val="20"/>
                <w:szCs w:val="20"/>
                <w:lang w:val="en-GB"/>
              </w:rPr>
              <w:t>resource</w:t>
            </w:r>
            <w:r w:rsidR="004D5D3A" w:rsidRPr="006F0F22">
              <w:rPr>
                <w:rFonts w:eastAsia="Calibri"/>
                <w:sz w:val="20"/>
                <w:szCs w:val="20"/>
                <w:lang w:val="en-GB"/>
              </w:rPr>
              <w:t>s</w:t>
            </w:r>
            <w:r w:rsidR="00EF2CB6" w:rsidRPr="006F0F22">
              <w:rPr>
                <w:rFonts w:eastAsia="Calibri"/>
                <w:sz w:val="20"/>
                <w:szCs w:val="20"/>
                <w:lang w:val="en-GB"/>
              </w:rPr>
              <w:t xml:space="preserve"> in the PA</w:t>
            </w:r>
            <w:r w:rsidR="004D5D3A" w:rsidRPr="006F0F22">
              <w:rPr>
                <w:rFonts w:eastAsia="Calibri"/>
                <w:sz w:val="20"/>
                <w:szCs w:val="20"/>
                <w:lang w:val="en-GB"/>
              </w:rPr>
              <w:t xml:space="preserve"> and adjacent areas</w:t>
            </w:r>
            <w:r w:rsidR="002079D2" w:rsidRPr="006F0F22">
              <w:rPr>
                <w:rFonts w:eastAsia="Calibri"/>
                <w:sz w:val="20"/>
                <w:szCs w:val="20"/>
                <w:lang w:val="en-GB"/>
              </w:rPr>
              <w:t>, to the best possible degree given knowledge constraints</w:t>
            </w:r>
            <w:r w:rsidR="00FF0F60" w:rsidRPr="006F0F22">
              <w:rPr>
                <w:rFonts w:eastAsia="Calibri"/>
                <w:sz w:val="20"/>
                <w:szCs w:val="20"/>
                <w:lang w:val="en-GB"/>
              </w:rPr>
              <w:t xml:space="preserve">. </w:t>
            </w:r>
            <w:r w:rsidR="00785374" w:rsidRPr="006F0F22">
              <w:rPr>
                <w:rFonts w:eastAsia="Calibri"/>
                <w:sz w:val="20"/>
                <w:szCs w:val="20"/>
                <w:lang w:val="en-GB"/>
              </w:rPr>
              <w:t xml:space="preserve">Over the longer term, sustainable </w:t>
            </w:r>
            <w:r w:rsidR="00E44F53" w:rsidRPr="006F0F22">
              <w:rPr>
                <w:rFonts w:eastAsia="Calibri"/>
                <w:sz w:val="20"/>
                <w:szCs w:val="20"/>
                <w:lang w:val="en-GB"/>
              </w:rPr>
              <w:t xml:space="preserve">recurrent </w:t>
            </w:r>
            <w:r w:rsidR="00785374" w:rsidRPr="006F0F22">
              <w:rPr>
                <w:rFonts w:eastAsia="Calibri"/>
                <w:sz w:val="20"/>
                <w:szCs w:val="20"/>
                <w:lang w:val="en-GB"/>
              </w:rPr>
              <w:t xml:space="preserve">revenues from </w:t>
            </w:r>
            <w:r w:rsidR="00E44F53" w:rsidRPr="006F0F22">
              <w:rPr>
                <w:rFonts w:eastAsia="Calibri"/>
                <w:sz w:val="20"/>
                <w:szCs w:val="20"/>
                <w:lang w:val="en-GB"/>
              </w:rPr>
              <w:t xml:space="preserve">FBG </w:t>
            </w:r>
            <w:r w:rsidR="00785374" w:rsidRPr="006F0F22">
              <w:rPr>
                <w:rFonts w:eastAsia="Calibri"/>
                <w:sz w:val="20"/>
                <w:szCs w:val="20"/>
                <w:lang w:val="en-GB"/>
              </w:rPr>
              <w:t xml:space="preserve">will allow IBAP and its </w:t>
            </w:r>
            <w:r w:rsidR="002079D2" w:rsidRPr="006F0F22">
              <w:rPr>
                <w:rFonts w:eastAsia="Calibri"/>
                <w:sz w:val="20"/>
                <w:szCs w:val="20"/>
                <w:lang w:val="en-GB"/>
              </w:rPr>
              <w:t xml:space="preserve">PA/biodiversity </w:t>
            </w:r>
            <w:r w:rsidR="00785374" w:rsidRPr="006F0F22">
              <w:rPr>
                <w:rFonts w:eastAsia="Calibri"/>
                <w:sz w:val="20"/>
                <w:szCs w:val="20"/>
                <w:lang w:val="en-GB"/>
              </w:rPr>
              <w:t>management partners to strengthen monitoring efforts, generating more information and allowing adaptation of management strategies in response to climate change induced trends.</w:t>
            </w:r>
          </w:p>
        </w:tc>
      </w:tr>
    </w:tbl>
    <w:p w:rsidR="008114E2" w:rsidRPr="006F0F22" w:rsidRDefault="008114E2" w:rsidP="008114E2">
      <w:pPr>
        <w:pStyle w:val="Heading4"/>
        <w:ind w:left="0"/>
        <w:rPr>
          <w:b w:val="0"/>
          <w:sz w:val="24"/>
          <w:szCs w:val="24"/>
        </w:rPr>
      </w:pPr>
    </w:p>
    <w:p w:rsidR="00A07E72" w:rsidRPr="006F0F22" w:rsidRDefault="00870816" w:rsidP="008114E2">
      <w:pPr>
        <w:pStyle w:val="Heading4"/>
        <w:ind w:left="0"/>
        <w:rPr>
          <w:u w:val="single"/>
        </w:rPr>
      </w:pPr>
      <w:r w:rsidRPr="006F0F22">
        <w:rPr>
          <w:u w:val="single"/>
        </w:rPr>
        <w:t xml:space="preserve">A.4. </w:t>
      </w:r>
      <w:r w:rsidR="008857BF" w:rsidRPr="006F0F22">
        <w:rPr>
          <w:u w:val="single"/>
        </w:rPr>
        <w:t xml:space="preserve">Coordination. </w:t>
      </w:r>
    </w:p>
    <w:p w:rsidR="008114E2" w:rsidRPr="006F0F22" w:rsidRDefault="008114E2" w:rsidP="008114E2">
      <w:pPr>
        <w:pStyle w:val="Footer"/>
        <w:tabs>
          <w:tab w:val="left" w:pos="0"/>
          <w:tab w:val="left" w:pos="227"/>
          <w:tab w:val="left" w:pos="340"/>
          <w:tab w:val="left" w:pos="397"/>
          <w:tab w:val="left" w:pos="720"/>
        </w:tabs>
        <w:ind w:left="0"/>
        <w:contextualSpacing/>
        <w:jc w:val="both"/>
        <w:rPr>
          <w:i/>
          <w:sz w:val="22"/>
          <w:szCs w:val="22"/>
          <w:u w:val="single"/>
          <w:lang w:val="en-GB"/>
        </w:rPr>
      </w:pPr>
    </w:p>
    <w:p w:rsidR="0098031A" w:rsidRPr="006F0F22" w:rsidRDefault="00381042" w:rsidP="0098031A">
      <w:pPr>
        <w:pStyle w:val="Footer"/>
        <w:numPr>
          <w:ilvl w:val="0"/>
          <w:numId w:val="24"/>
        </w:numPr>
        <w:tabs>
          <w:tab w:val="clear" w:pos="4320"/>
          <w:tab w:val="clear" w:pos="8640"/>
        </w:tabs>
        <w:ind w:left="0" w:firstLine="0"/>
        <w:contextualSpacing/>
        <w:jc w:val="both"/>
        <w:rPr>
          <w:sz w:val="22"/>
          <w:szCs w:val="22"/>
          <w:lang w:val="en-GB"/>
        </w:rPr>
      </w:pPr>
      <w:r w:rsidRPr="006F0F22">
        <w:rPr>
          <w:sz w:val="22"/>
          <w:szCs w:val="22"/>
          <w:lang w:val="en-GB"/>
        </w:rPr>
        <w:t>Project design and implementation will</w:t>
      </w:r>
      <w:r w:rsidR="00C42387" w:rsidRPr="006F0F22">
        <w:rPr>
          <w:sz w:val="22"/>
          <w:szCs w:val="22"/>
          <w:lang w:val="en-GB"/>
        </w:rPr>
        <w:t xml:space="preserve"> build upon the achievements and investments of several closely related interventions and coordinate</w:t>
      </w:r>
      <w:r w:rsidR="00380AC1" w:rsidRPr="006F0F22">
        <w:rPr>
          <w:sz w:val="22"/>
          <w:szCs w:val="22"/>
          <w:lang w:val="en-GB"/>
        </w:rPr>
        <w:t xml:space="preserve"> </w:t>
      </w:r>
      <w:r w:rsidR="00ED5B5D" w:rsidRPr="006F0F22">
        <w:rPr>
          <w:sz w:val="22"/>
          <w:szCs w:val="22"/>
          <w:lang w:val="en-GB"/>
        </w:rPr>
        <w:t xml:space="preserve">regularly </w:t>
      </w:r>
      <w:r w:rsidRPr="006F0F22">
        <w:rPr>
          <w:sz w:val="22"/>
          <w:szCs w:val="22"/>
          <w:lang w:val="en-GB"/>
        </w:rPr>
        <w:t xml:space="preserve">with </w:t>
      </w:r>
      <w:r w:rsidR="005A203D" w:rsidRPr="006F0F22">
        <w:rPr>
          <w:sz w:val="22"/>
          <w:szCs w:val="22"/>
          <w:lang w:val="en-GB"/>
        </w:rPr>
        <w:t xml:space="preserve">the following </w:t>
      </w:r>
      <w:r w:rsidRPr="006F0F22">
        <w:rPr>
          <w:sz w:val="22"/>
          <w:szCs w:val="22"/>
          <w:lang w:val="en-GB"/>
        </w:rPr>
        <w:t xml:space="preserve">ongoing and planned </w:t>
      </w:r>
      <w:r w:rsidR="00DB6082" w:rsidRPr="006F0F22">
        <w:rPr>
          <w:sz w:val="22"/>
          <w:szCs w:val="22"/>
          <w:lang w:val="en-GB"/>
        </w:rPr>
        <w:t>projects</w:t>
      </w:r>
      <w:r w:rsidR="006A38AF" w:rsidRPr="006F0F22">
        <w:rPr>
          <w:sz w:val="22"/>
          <w:szCs w:val="22"/>
          <w:lang w:val="en-GB"/>
        </w:rPr>
        <w:t xml:space="preserve">. By investing in </w:t>
      </w:r>
      <w:r w:rsidR="00BD1EB4" w:rsidRPr="006F0F22">
        <w:rPr>
          <w:sz w:val="22"/>
          <w:szCs w:val="22"/>
          <w:u w:val="single"/>
          <w:lang w:val="en-GB"/>
        </w:rPr>
        <w:t>Cantanhez NP</w:t>
      </w:r>
      <w:r w:rsidR="00AD2DD1" w:rsidRPr="006F0F22">
        <w:rPr>
          <w:sz w:val="22"/>
          <w:szCs w:val="22"/>
          <w:lang w:val="en-GB"/>
        </w:rPr>
        <w:t xml:space="preserve"> </w:t>
      </w:r>
      <w:r w:rsidR="00BD1EB4" w:rsidRPr="006F0F22">
        <w:rPr>
          <w:sz w:val="22"/>
          <w:szCs w:val="22"/>
          <w:lang w:val="en-GB"/>
        </w:rPr>
        <w:t>–</w:t>
      </w:r>
      <w:r w:rsidR="00380AC1" w:rsidRPr="006F0F22">
        <w:rPr>
          <w:sz w:val="22"/>
          <w:szCs w:val="22"/>
          <w:lang w:val="en-GB"/>
        </w:rPr>
        <w:t xml:space="preserve"> </w:t>
      </w:r>
      <w:r w:rsidR="006A38AF" w:rsidRPr="006F0F22">
        <w:rPr>
          <w:sz w:val="22"/>
          <w:szCs w:val="22"/>
          <w:lang w:val="en-GB"/>
        </w:rPr>
        <w:t xml:space="preserve">a priority PA site in </w:t>
      </w:r>
      <w:r w:rsidR="00AD2DD1" w:rsidRPr="006F0F22">
        <w:rPr>
          <w:sz w:val="22"/>
          <w:szCs w:val="22"/>
          <w:lang w:val="en-GB"/>
        </w:rPr>
        <w:t>the Forest Belt region</w:t>
      </w:r>
      <w:r w:rsidR="00380AC1" w:rsidRPr="006F0F22">
        <w:rPr>
          <w:sz w:val="22"/>
          <w:szCs w:val="22"/>
          <w:lang w:val="en-GB"/>
        </w:rPr>
        <w:t xml:space="preserve"> </w:t>
      </w:r>
      <w:r w:rsidR="00BD1EB4" w:rsidRPr="006F0F22">
        <w:rPr>
          <w:sz w:val="22"/>
          <w:szCs w:val="22"/>
          <w:lang w:val="en-GB"/>
        </w:rPr>
        <w:t>–</w:t>
      </w:r>
      <w:r w:rsidR="006A38AF" w:rsidRPr="006F0F22">
        <w:rPr>
          <w:sz w:val="22"/>
          <w:szCs w:val="22"/>
          <w:lang w:val="en-GB"/>
        </w:rPr>
        <w:t xml:space="preserve"> the</w:t>
      </w:r>
      <w:r w:rsidR="00BD1EB4" w:rsidRPr="006F0F22">
        <w:rPr>
          <w:sz w:val="22"/>
          <w:szCs w:val="22"/>
          <w:lang w:val="en-GB"/>
        </w:rPr>
        <w:t xml:space="preserve"> </w:t>
      </w:r>
      <w:r w:rsidR="006A38AF" w:rsidRPr="006F0F22">
        <w:rPr>
          <w:sz w:val="22"/>
          <w:szCs w:val="22"/>
          <w:lang w:val="en-GB"/>
        </w:rPr>
        <w:t>project will contribute to th</w:t>
      </w:r>
      <w:r w:rsidR="000C30E3" w:rsidRPr="006F0F22">
        <w:rPr>
          <w:sz w:val="22"/>
          <w:szCs w:val="22"/>
          <w:lang w:val="en-GB"/>
        </w:rPr>
        <w:t>e process initiated by the UNDP-</w:t>
      </w:r>
      <w:r w:rsidR="006A38AF" w:rsidRPr="006F0F22">
        <w:rPr>
          <w:sz w:val="22"/>
          <w:szCs w:val="22"/>
          <w:lang w:val="en-GB"/>
        </w:rPr>
        <w:t>GEF project to consolidate the national PA system (GEF ID 3575) and correct the imbalance in the representativeness, connectivity and operational management capacity of the terrestrial component of Guinea-Bissau’s national PA system.</w:t>
      </w:r>
      <w:r w:rsidR="007E2389" w:rsidRPr="006F0F22">
        <w:rPr>
          <w:sz w:val="22"/>
          <w:szCs w:val="22"/>
          <w:lang w:val="en-GB"/>
        </w:rPr>
        <w:t xml:space="preserve"> </w:t>
      </w:r>
      <w:r w:rsidR="006A38AF" w:rsidRPr="006F0F22">
        <w:rPr>
          <w:sz w:val="22"/>
          <w:szCs w:val="22"/>
          <w:lang w:val="en-GB"/>
        </w:rPr>
        <w:t>This ongoing</w:t>
      </w:r>
      <w:r w:rsidR="00380AC1" w:rsidRPr="006F0F22">
        <w:rPr>
          <w:sz w:val="22"/>
          <w:szCs w:val="22"/>
          <w:lang w:val="en-GB"/>
        </w:rPr>
        <w:t xml:space="preserve"> </w:t>
      </w:r>
      <w:r w:rsidR="00AD2DD1" w:rsidRPr="006F0F22">
        <w:rPr>
          <w:sz w:val="22"/>
          <w:szCs w:val="22"/>
          <w:lang w:val="en-GB"/>
        </w:rPr>
        <w:t>project in turn provide</w:t>
      </w:r>
      <w:r w:rsidR="00BD1EB4" w:rsidRPr="006F0F22">
        <w:rPr>
          <w:sz w:val="22"/>
          <w:szCs w:val="22"/>
          <w:lang w:val="en-GB"/>
        </w:rPr>
        <w:t>s</w:t>
      </w:r>
      <w:r w:rsidR="00AD2DD1" w:rsidRPr="006F0F22">
        <w:rPr>
          <w:sz w:val="22"/>
          <w:szCs w:val="22"/>
          <w:lang w:val="en-GB"/>
        </w:rPr>
        <w:t xml:space="preserve"> a foundation by </w:t>
      </w:r>
      <w:r w:rsidR="009C5EC8" w:rsidRPr="006F0F22">
        <w:rPr>
          <w:sz w:val="22"/>
          <w:szCs w:val="22"/>
          <w:lang w:val="en-GB"/>
        </w:rPr>
        <w:t>having improved</w:t>
      </w:r>
      <w:r w:rsidR="006A38AF" w:rsidRPr="006F0F22">
        <w:rPr>
          <w:sz w:val="22"/>
          <w:szCs w:val="22"/>
          <w:lang w:val="en-GB"/>
        </w:rPr>
        <w:t xml:space="preserve"> systemic and institutional capaci</w:t>
      </w:r>
      <w:r w:rsidR="009C5EC8" w:rsidRPr="006F0F22">
        <w:rPr>
          <w:sz w:val="22"/>
          <w:szCs w:val="22"/>
          <w:lang w:val="en-GB"/>
        </w:rPr>
        <w:t>ties</w:t>
      </w:r>
      <w:r w:rsidR="006A38AF" w:rsidRPr="006F0F22">
        <w:rPr>
          <w:sz w:val="22"/>
          <w:szCs w:val="22"/>
          <w:lang w:val="en-GB"/>
        </w:rPr>
        <w:t xml:space="preserve"> and </w:t>
      </w:r>
      <w:r w:rsidR="009C5EC8" w:rsidRPr="006F0F22">
        <w:rPr>
          <w:sz w:val="22"/>
          <w:szCs w:val="22"/>
          <w:lang w:val="en-GB"/>
        </w:rPr>
        <w:t>having demonstrated</w:t>
      </w:r>
      <w:r w:rsidR="006A38AF" w:rsidRPr="006F0F22">
        <w:rPr>
          <w:sz w:val="22"/>
          <w:szCs w:val="22"/>
          <w:lang w:val="en-GB"/>
        </w:rPr>
        <w:t xml:space="preserve"> </w:t>
      </w:r>
      <w:r w:rsidR="00AD2DD1" w:rsidRPr="006F0F22">
        <w:rPr>
          <w:sz w:val="22"/>
          <w:szCs w:val="22"/>
          <w:lang w:val="en-GB"/>
        </w:rPr>
        <w:t xml:space="preserve">community </w:t>
      </w:r>
      <w:r w:rsidR="006A38AF" w:rsidRPr="006F0F22">
        <w:rPr>
          <w:sz w:val="22"/>
          <w:szCs w:val="22"/>
          <w:lang w:val="en-GB"/>
        </w:rPr>
        <w:t xml:space="preserve">sustainable approaches </w:t>
      </w:r>
      <w:r w:rsidR="00AD2DD1" w:rsidRPr="006F0F22">
        <w:rPr>
          <w:sz w:val="22"/>
          <w:szCs w:val="22"/>
          <w:lang w:val="en-GB"/>
        </w:rPr>
        <w:t xml:space="preserve">that could be replicated </w:t>
      </w:r>
      <w:r w:rsidR="00380AC1" w:rsidRPr="006F0F22">
        <w:rPr>
          <w:sz w:val="22"/>
          <w:szCs w:val="22"/>
          <w:lang w:val="en-GB"/>
        </w:rPr>
        <w:t xml:space="preserve">in Cantanhez NP. </w:t>
      </w:r>
      <w:r w:rsidR="006A38AF" w:rsidRPr="006F0F22">
        <w:rPr>
          <w:sz w:val="22"/>
          <w:szCs w:val="22"/>
          <w:lang w:val="en-GB"/>
        </w:rPr>
        <w:t xml:space="preserve">The project will </w:t>
      </w:r>
      <w:r w:rsidR="00AD2DD1" w:rsidRPr="006F0F22">
        <w:rPr>
          <w:sz w:val="22"/>
          <w:szCs w:val="22"/>
          <w:lang w:val="en-GB"/>
        </w:rPr>
        <w:t>also</w:t>
      </w:r>
      <w:r w:rsidR="006A38AF" w:rsidRPr="006F0F22">
        <w:rPr>
          <w:sz w:val="22"/>
          <w:szCs w:val="22"/>
          <w:lang w:val="en-GB"/>
        </w:rPr>
        <w:t xml:space="preserve"> build on the results of </w:t>
      </w:r>
      <w:r w:rsidR="009C5EC8" w:rsidRPr="006F0F22">
        <w:rPr>
          <w:sz w:val="22"/>
          <w:szCs w:val="22"/>
          <w:lang w:val="en-GB"/>
        </w:rPr>
        <w:t>the World Bank-GEF project that set up the BioGuine</w:t>
      </w:r>
      <w:r w:rsidR="00B12ACD" w:rsidRPr="006F0F22">
        <w:rPr>
          <w:sz w:val="22"/>
          <w:szCs w:val="22"/>
          <w:lang w:val="en-GB"/>
        </w:rPr>
        <w:t>a</w:t>
      </w:r>
      <w:r w:rsidR="009C5EC8" w:rsidRPr="006F0F22">
        <w:rPr>
          <w:sz w:val="22"/>
          <w:szCs w:val="22"/>
          <w:lang w:val="en-GB"/>
        </w:rPr>
        <w:t xml:space="preserve"> Foundation while providing</w:t>
      </w:r>
      <w:r w:rsidR="006A38AF" w:rsidRPr="006F0F22">
        <w:rPr>
          <w:sz w:val="22"/>
          <w:szCs w:val="22"/>
          <w:lang w:val="en-GB"/>
        </w:rPr>
        <w:t xml:space="preserve"> short term, stopgap financing for the basic operating costs of the PA network </w:t>
      </w:r>
      <w:r w:rsidR="009C5EC8" w:rsidRPr="006F0F22">
        <w:rPr>
          <w:sz w:val="22"/>
          <w:szCs w:val="22"/>
          <w:lang w:val="en-GB"/>
        </w:rPr>
        <w:t>and IBAP</w:t>
      </w:r>
      <w:r w:rsidR="00E80FAB" w:rsidRPr="006F0F22">
        <w:rPr>
          <w:sz w:val="22"/>
          <w:szCs w:val="22"/>
          <w:lang w:val="en-GB"/>
        </w:rPr>
        <w:t>,</w:t>
      </w:r>
      <w:r w:rsidR="009C5EC8" w:rsidRPr="006F0F22">
        <w:rPr>
          <w:sz w:val="22"/>
          <w:szCs w:val="22"/>
          <w:lang w:val="en-GB"/>
        </w:rPr>
        <w:t xml:space="preserve"> in the wait for </w:t>
      </w:r>
      <w:r w:rsidR="006A38AF" w:rsidRPr="006F0F22">
        <w:rPr>
          <w:sz w:val="22"/>
          <w:szCs w:val="22"/>
          <w:lang w:val="en-GB"/>
        </w:rPr>
        <w:t>more sustainable financing</w:t>
      </w:r>
      <w:r w:rsidR="009C5EC8" w:rsidRPr="006F0F22">
        <w:rPr>
          <w:sz w:val="22"/>
          <w:szCs w:val="22"/>
          <w:lang w:val="en-GB"/>
        </w:rPr>
        <w:t xml:space="preserve"> to arrive</w:t>
      </w:r>
      <w:r w:rsidR="006A38AF" w:rsidRPr="006F0F22">
        <w:rPr>
          <w:sz w:val="22"/>
          <w:szCs w:val="22"/>
          <w:lang w:val="en-GB"/>
        </w:rPr>
        <w:t xml:space="preserve">. In addition, the </w:t>
      </w:r>
      <w:r w:rsidR="00E80FAB" w:rsidRPr="006F0F22">
        <w:rPr>
          <w:sz w:val="22"/>
          <w:szCs w:val="22"/>
          <w:lang w:val="en-GB"/>
        </w:rPr>
        <w:t xml:space="preserve">here-proposed </w:t>
      </w:r>
      <w:r w:rsidR="006A38AF" w:rsidRPr="006F0F22">
        <w:rPr>
          <w:sz w:val="22"/>
          <w:szCs w:val="22"/>
          <w:lang w:val="en-GB"/>
        </w:rPr>
        <w:t xml:space="preserve">project anticipates and will </w:t>
      </w:r>
      <w:r w:rsidR="00E80FAB" w:rsidRPr="006F0F22">
        <w:rPr>
          <w:sz w:val="22"/>
          <w:szCs w:val="22"/>
          <w:lang w:val="en-GB"/>
        </w:rPr>
        <w:t xml:space="preserve">build on and </w:t>
      </w:r>
      <w:r w:rsidR="006A38AF" w:rsidRPr="006F0F22">
        <w:rPr>
          <w:sz w:val="22"/>
          <w:szCs w:val="22"/>
          <w:lang w:val="en-GB"/>
        </w:rPr>
        <w:t xml:space="preserve">coordinate closely with an World Bank-supported project </w:t>
      </w:r>
      <w:r w:rsidR="00337340" w:rsidRPr="006F0F22">
        <w:rPr>
          <w:sz w:val="22"/>
          <w:szCs w:val="22"/>
          <w:lang w:val="en-GB"/>
        </w:rPr>
        <w:t xml:space="preserve">assessing and preparing the forests of </w:t>
      </w:r>
      <w:r w:rsidR="00E80FAB" w:rsidRPr="006F0F22">
        <w:rPr>
          <w:sz w:val="22"/>
          <w:szCs w:val="22"/>
          <w:lang w:val="en-GB"/>
        </w:rPr>
        <w:t>Cantanhez NP</w:t>
      </w:r>
      <w:r w:rsidR="00337340" w:rsidRPr="006F0F22">
        <w:rPr>
          <w:sz w:val="22"/>
          <w:szCs w:val="22"/>
          <w:lang w:val="en-GB"/>
        </w:rPr>
        <w:t xml:space="preserve"> (and Cacheu NP) in relation to their eligibility for avoided-deforestation REDD revenues</w:t>
      </w:r>
      <w:r w:rsidR="006A38AF" w:rsidRPr="006F0F22">
        <w:rPr>
          <w:sz w:val="22"/>
          <w:szCs w:val="22"/>
          <w:lang w:val="en-GB"/>
        </w:rPr>
        <w:t xml:space="preserve">. </w:t>
      </w:r>
      <w:r w:rsidR="00F54269" w:rsidRPr="006F0F22">
        <w:rPr>
          <w:sz w:val="22"/>
          <w:szCs w:val="22"/>
          <w:lang w:val="en-GB"/>
        </w:rPr>
        <w:t xml:space="preserve">Once validated, </w:t>
      </w:r>
      <w:r w:rsidR="00337340" w:rsidRPr="006F0F22">
        <w:rPr>
          <w:sz w:val="22"/>
          <w:szCs w:val="22"/>
          <w:lang w:val="en-GB"/>
        </w:rPr>
        <w:t xml:space="preserve">the project </w:t>
      </w:r>
      <w:r w:rsidR="00F54269" w:rsidRPr="006F0F22">
        <w:rPr>
          <w:sz w:val="22"/>
          <w:szCs w:val="22"/>
          <w:lang w:val="en-GB"/>
        </w:rPr>
        <w:t xml:space="preserve">will </w:t>
      </w:r>
      <w:r w:rsidR="006A38AF" w:rsidRPr="006F0F22">
        <w:rPr>
          <w:sz w:val="22"/>
          <w:szCs w:val="22"/>
          <w:lang w:val="en-GB"/>
        </w:rPr>
        <w:t xml:space="preserve">generate tradable emission reductions </w:t>
      </w:r>
      <w:r w:rsidR="00F54269" w:rsidRPr="006F0F22">
        <w:rPr>
          <w:sz w:val="22"/>
          <w:szCs w:val="22"/>
          <w:lang w:val="en-GB"/>
        </w:rPr>
        <w:t xml:space="preserve">creating </w:t>
      </w:r>
      <w:r w:rsidR="006A38AF" w:rsidRPr="006F0F22">
        <w:rPr>
          <w:sz w:val="22"/>
          <w:szCs w:val="22"/>
          <w:lang w:val="en-GB"/>
        </w:rPr>
        <w:t>a sustainable flow of revenue to local communities</w:t>
      </w:r>
      <w:r w:rsidR="00F54269" w:rsidRPr="006F0F22">
        <w:rPr>
          <w:sz w:val="22"/>
          <w:szCs w:val="22"/>
          <w:lang w:val="en-GB"/>
        </w:rPr>
        <w:t>, PA management and the FBG,</w:t>
      </w:r>
      <w:r w:rsidR="006A38AF" w:rsidRPr="006F0F22">
        <w:rPr>
          <w:sz w:val="22"/>
          <w:szCs w:val="22"/>
          <w:lang w:val="en-GB"/>
        </w:rPr>
        <w:t xml:space="preserve"> thereby </w:t>
      </w:r>
      <w:r w:rsidR="00F54269" w:rsidRPr="006F0F22">
        <w:rPr>
          <w:sz w:val="22"/>
          <w:szCs w:val="22"/>
          <w:lang w:val="en-GB"/>
        </w:rPr>
        <w:t>leveraging</w:t>
      </w:r>
      <w:r w:rsidR="006A38AF" w:rsidRPr="006F0F22">
        <w:rPr>
          <w:sz w:val="22"/>
          <w:szCs w:val="22"/>
          <w:lang w:val="en-GB"/>
        </w:rPr>
        <w:t xml:space="preserve"> long-term protection of forests and related biodiversity</w:t>
      </w:r>
      <w:r w:rsidR="00380AC1" w:rsidRPr="006F0F22">
        <w:rPr>
          <w:sz w:val="22"/>
          <w:szCs w:val="22"/>
          <w:lang w:val="en-GB"/>
        </w:rPr>
        <w:t xml:space="preserve">. </w:t>
      </w:r>
      <w:r w:rsidR="003C5C24" w:rsidRPr="006F0F22">
        <w:rPr>
          <w:sz w:val="22"/>
          <w:szCs w:val="22"/>
          <w:lang w:val="en-GB"/>
        </w:rPr>
        <w:t>The project wi</w:t>
      </w:r>
      <w:r w:rsidR="00F54269" w:rsidRPr="006F0F22">
        <w:rPr>
          <w:sz w:val="22"/>
          <w:szCs w:val="22"/>
          <w:lang w:val="en-GB"/>
        </w:rPr>
        <w:t>ll also coordinate closely with</w:t>
      </w:r>
      <w:r w:rsidR="003C5C24" w:rsidRPr="006F0F22">
        <w:rPr>
          <w:sz w:val="22"/>
          <w:szCs w:val="22"/>
          <w:lang w:val="en-GB"/>
        </w:rPr>
        <w:t xml:space="preserve">: (i) </w:t>
      </w:r>
      <w:r w:rsidR="000C30E3" w:rsidRPr="006F0F22">
        <w:rPr>
          <w:sz w:val="22"/>
          <w:szCs w:val="22"/>
          <w:lang w:val="en-GB"/>
        </w:rPr>
        <w:t>the EU-UNDP-</w:t>
      </w:r>
      <w:r w:rsidR="001B5BE3" w:rsidRPr="006F0F22">
        <w:rPr>
          <w:sz w:val="22"/>
          <w:szCs w:val="22"/>
          <w:lang w:val="en-GB"/>
        </w:rPr>
        <w:t xml:space="preserve">WWF funded West African Marine Ecoregion project (WAMER) aiming, </w:t>
      </w:r>
      <w:r w:rsidR="001B5BE3" w:rsidRPr="006F0F22">
        <w:rPr>
          <w:i/>
          <w:sz w:val="22"/>
          <w:szCs w:val="22"/>
          <w:lang w:val="en-GB"/>
        </w:rPr>
        <w:t>inter alia</w:t>
      </w:r>
      <w:r w:rsidR="001B5BE3" w:rsidRPr="006F0F22">
        <w:rPr>
          <w:sz w:val="22"/>
          <w:szCs w:val="22"/>
          <w:lang w:val="en-GB"/>
        </w:rPr>
        <w:t>, to improve governance and institutional capacity in Guinea-Bissau’s coasta</w:t>
      </w:r>
      <w:r w:rsidR="003C5C24" w:rsidRPr="006F0F22">
        <w:rPr>
          <w:sz w:val="22"/>
          <w:szCs w:val="22"/>
          <w:lang w:val="en-GB"/>
        </w:rPr>
        <w:t>l and marine protected areas; (i</w:t>
      </w:r>
      <w:r w:rsidR="00F54269" w:rsidRPr="006F0F22">
        <w:rPr>
          <w:sz w:val="22"/>
          <w:szCs w:val="22"/>
          <w:lang w:val="en-GB"/>
        </w:rPr>
        <w:t xml:space="preserve">i) </w:t>
      </w:r>
      <w:r w:rsidR="001B5BE3" w:rsidRPr="006F0F22">
        <w:rPr>
          <w:sz w:val="22"/>
          <w:szCs w:val="22"/>
          <w:lang w:val="en-GB"/>
        </w:rPr>
        <w:t>the EU-funded project in Cacheu NP, which aims to support the sustainable man</w:t>
      </w:r>
      <w:r w:rsidR="00F54269" w:rsidRPr="006F0F22">
        <w:rPr>
          <w:sz w:val="22"/>
          <w:szCs w:val="22"/>
          <w:lang w:val="en-GB"/>
        </w:rPr>
        <w:t>agement of forest resources</w:t>
      </w:r>
      <w:r w:rsidR="003C5C24" w:rsidRPr="006F0F22">
        <w:rPr>
          <w:sz w:val="22"/>
          <w:szCs w:val="22"/>
          <w:lang w:val="en-GB"/>
        </w:rPr>
        <w:t>; (i</w:t>
      </w:r>
      <w:r w:rsidR="001B5BE3" w:rsidRPr="006F0F22">
        <w:rPr>
          <w:sz w:val="22"/>
          <w:szCs w:val="22"/>
          <w:lang w:val="en-GB"/>
        </w:rPr>
        <w:t>ii) the MAVA/IUCN project promoting sustainable tourism in Guinea-Bissau with a focus on protected areas.</w:t>
      </w:r>
    </w:p>
    <w:p w:rsidR="008114E2" w:rsidRPr="006F0F22" w:rsidRDefault="008114E2" w:rsidP="008114E2">
      <w:pPr>
        <w:pStyle w:val="Heading3"/>
        <w:ind w:left="0"/>
        <w:rPr>
          <w:b w:val="0"/>
          <w:smallCaps w:val="0"/>
        </w:rPr>
      </w:pPr>
    </w:p>
    <w:p w:rsidR="00E503D2" w:rsidRPr="006F0F22" w:rsidRDefault="00E503D2">
      <w:pPr>
        <w:rPr>
          <w:b/>
          <w:smallCaps/>
          <w:sz w:val="22"/>
          <w:szCs w:val="22"/>
          <w:lang w:val="en-GB"/>
        </w:rPr>
      </w:pPr>
      <w:r w:rsidRPr="006F0F22">
        <w:br w:type="page"/>
      </w:r>
    </w:p>
    <w:p w:rsidR="000E4612" w:rsidRPr="006F0F22" w:rsidRDefault="00275D59" w:rsidP="008114E2">
      <w:pPr>
        <w:pStyle w:val="Heading3"/>
        <w:ind w:left="0"/>
      </w:pPr>
      <w:r w:rsidRPr="006F0F22">
        <w:lastRenderedPageBreak/>
        <w:t xml:space="preserve">B. </w:t>
      </w:r>
      <w:r w:rsidRPr="006F0F22">
        <w:tab/>
        <w:t>Description of the consistency of the project with:</w:t>
      </w:r>
    </w:p>
    <w:p w:rsidR="008114E2" w:rsidRPr="006F0F22" w:rsidRDefault="008114E2" w:rsidP="008114E2">
      <w:pPr>
        <w:pStyle w:val="Heading4"/>
        <w:ind w:left="0"/>
        <w:rPr>
          <w:b w:val="0"/>
        </w:rPr>
      </w:pPr>
    </w:p>
    <w:p w:rsidR="000651D1" w:rsidRPr="006F0F22" w:rsidRDefault="000651D1" w:rsidP="008114E2">
      <w:pPr>
        <w:pStyle w:val="Heading4"/>
        <w:ind w:left="0"/>
        <w:rPr>
          <w:u w:val="single"/>
        </w:rPr>
      </w:pPr>
      <w:r w:rsidRPr="006F0F22">
        <w:rPr>
          <w:u w:val="single"/>
        </w:rPr>
        <w:t>B.1</w:t>
      </w:r>
      <w:r w:rsidR="00FB6F8C" w:rsidRPr="006F0F22">
        <w:rPr>
          <w:u w:val="single"/>
        </w:rPr>
        <w:t xml:space="preserve">. </w:t>
      </w:r>
      <w:r w:rsidRPr="006F0F22">
        <w:rPr>
          <w:u w:val="single"/>
        </w:rPr>
        <w:t>National strategies and plans or reports and assessments under relevant conventions.</w:t>
      </w:r>
    </w:p>
    <w:p w:rsidR="008114E2" w:rsidRPr="006F0F22" w:rsidRDefault="008114E2" w:rsidP="008114E2">
      <w:pPr>
        <w:pStyle w:val="Footer"/>
        <w:tabs>
          <w:tab w:val="left" w:pos="0"/>
          <w:tab w:val="left" w:pos="227"/>
          <w:tab w:val="left" w:pos="340"/>
          <w:tab w:val="left" w:pos="397"/>
          <w:tab w:val="left" w:pos="720"/>
        </w:tabs>
        <w:ind w:left="0"/>
        <w:contextualSpacing/>
        <w:jc w:val="both"/>
        <w:rPr>
          <w:sz w:val="22"/>
          <w:szCs w:val="22"/>
          <w:lang w:val="en-GB"/>
        </w:rPr>
      </w:pPr>
    </w:p>
    <w:p w:rsidR="0098031A" w:rsidRPr="006F0F22" w:rsidRDefault="0098031A" w:rsidP="0098031A">
      <w:pPr>
        <w:pStyle w:val="Footer"/>
        <w:numPr>
          <w:ilvl w:val="0"/>
          <w:numId w:val="24"/>
        </w:numPr>
        <w:tabs>
          <w:tab w:val="clear" w:pos="4320"/>
          <w:tab w:val="clear" w:pos="8640"/>
        </w:tabs>
        <w:ind w:left="0" w:firstLine="0"/>
        <w:contextualSpacing/>
        <w:jc w:val="both"/>
        <w:rPr>
          <w:sz w:val="22"/>
          <w:szCs w:val="22"/>
          <w:lang w:val="en-GB"/>
        </w:rPr>
      </w:pPr>
      <w:r w:rsidRPr="006F0F22">
        <w:rPr>
          <w:sz w:val="22"/>
          <w:szCs w:val="22"/>
          <w:lang w:val="en-GB"/>
        </w:rPr>
        <w:t xml:space="preserve">The project is consistent and fully in line with national plans, priorities and policies. The 2007-2011 National Strategy for Protected Areas and Biodiversity Conservation (NSPAB), under strategic objective N.1 for institutional strengthening, calls for the implementation of a sustainable financial mechanism supporting the PA system and the operationalisation of the BioGuinea Foundation. Under strategic objective N.2, the NSPAB calls for the expansion of the terrestrial PA system and the establishment </w:t>
      </w:r>
      <w:r w:rsidRPr="006F0F22">
        <w:rPr>
          <w:i/>
          <w:sz w:val="22"/>
          <w:szCs w:val="22"/>
          <w:lang w:val="en-GB"/>
        </w:rPr>
        <w:t>inter alia</w:t>
      </w:r>
      <w:r w:rsidRPr="006F0F22">
        <w:rPr>
          <w:sz w:val="22"/>
          <w:szCs w:val="22"/>
          <w:lang w:val="en-GB"/>
        </w:rPr>
        <w:t xml:space="preserve"> of the Cantanhez NP. The project is also in line with the National Forestry Policy (2010), the Forestry Master Plan (2010), and the recently revised Forestry Law (Lei Florestal, Decree-Law No. 5/2011)</w:t>
      </w:r>
      <w:r w:rsidRPr="006F0F22">
        <w:rPr>
          <w:rStyle w:val="FootnoteReference"/>
          <w:sz w:val="22"/>
          <w:szCs w:val="22"/>
          <w:lang w:val="en-GB"/>
        </w:rPr>
        <w:footnoteReference w:id="23"/>
      </w:r>
      <w:r w:rsidRPr="006F0F22">
        <w:rPr>
          <w:sz w:val="22"/>
          <w:szCs w:val="22"/>
          <w:lang w:val="en-GB"/>
        </w:rPr>
        <w:t>. Collectively, these texts set out a new vision for the preservation of forest resources in Guinea-Bissau, acknowledging the vital role of protected areas and the necessity of establishing a collaborative framework involving local communities and other key stakeholders such as IBAP; the Forest</w:t>
      </w:r>
      <w:r w:rsidR="00B12ACD" w:rsidRPr="006F0F22">
        <w:rPr>
          <w:sz w:val="22"/>
          <w:szCs w:val="22"/>
          <w:lang w:val="en-GB"/>
        </w:rPr>
        <w:t>ry</w:t>
      </w:r>
      <w:r w:rsidRPr="006F0F22">
        <w:rPr>
          <w:sz w:val="22"/>
          <w:szCs w:val="22"/>
          <w:lang w:val="en-GB"/>
        </w:rPr>
        <w:t xml:space="preserve"> Master Plan specifically indicated the needs to improve the institutional alignment and coordination between IBAP and DGFF – which the project proposes to pilot in Cantanhez NP with implications for the at the national level. Finally, the project is also consistent with the National Adaptation Plan of Action (NAPA 2007) which, based on the negative influence of climate variability, recognizes the need to enhance the sustainable management of ecosystem services as an important adaptation option. </w:t>
      </w:r>
    </w:p>
    <w:p w:rsidR="008114E2" w:rsidRPr="006F0F22" w:rsidRDefault="008114E2" w:rsidP="008114E2">
      <w:pPr>
        <w:pStyle w:val="Heading4"/>
        <w:ind w:left="0"/>
        <w:rPr>
          <w:b w:val="0"/>
        </w:rPr>
      </w:pPr>
    </w:p>
    <w:p w:rsidR="000651D1" w:rsidRPr="006F0F22" w:rsidRDefault="000651D1" w:rsidP="008114E2">
      <w:pPr>
        <w:pStyle w:val="Heading4"/>
        <w:ind w:left="0"/>
        <w:rPr>
          <w:u w:val="single"/>
        </w:rPr>
      </w:pPr>
      <w:r w:rsidRPr="006F0F22">
        <w:rPr>
          <w:u w:val="single"/>
        </w:rPr>
        <w:t>B.2. GEF focal area and/or fund(s) strategies, eligibility criteria and priorities:</w:t>
      </w:r>
    </w:p>
    <w:p w:rsidR="008114E2" w:rsidRPr="006F0F22" w:rsidRDefault="008114E2" w:rsidP="008114E2">
      <w:pPr>
        <w:pStyle w:val="Footer"/>
        <w:tabs>
          <w:tab w:val="left" w:pos="0"/>
          <w:tab w:val="left" w:pos="227"/>
          <w:tab w:val="left" w:pos="340"/>
          <w:tab w:val="left" w:pos="397"/>
          <w:tab w:val="left" w:pos="720"/>
        </w:tabs>
        <w:ind w:left="0"/>
        <w:contextualSpacing/>
        <w:jc w:val="both"/>
        <w:rPr>
          <w:color w:val="92D050"/>
          <w:sz w:val="22"/>
          <w:szCs w:val="22"/>
          <w:lang w:val="en-GB"/>
        </w:rPr>
      </w:pPr>
    </w:p>
    <w:p w:rsidR="000651D1" w:rsidRPr="006F0F22" w:rsidRDefault="00A83663" w:rsidP="0000186A">
      <w:pPr>
        <w:pStyle w:val="Footer"/>
        <w:numPr>
          <w:ilvl w:val="0"/>
          <w:numId w:val="24"/>
        </w:numPr>
        <w:tabs>
          <w:tab w:val="clear" w:pos="4320"/>
          <w:tab w:val="clear" w:pos="8640"/>
        </w:tabs>
        <w:ind w:left="0" w:firstLine="0"/>
        <w:contextualSpacing/>
        <w:jc w:val="both"/>
        <w:rPr>
          <w:sz w:val="22"/>
          <w:szCs w:val="22"/>
          <w:lang w:val="en-GB"/>
        </w:rPr>
      </w:pPr>
      <w:r w:rsidRPr="006F0F22">
        <w:rPr>
          <w:sz w:val="22"/>
          <w:szCs w:val="22"/>
          <w:lang w:val="en-GB"/>
        </w:rPr>
        <w:t>The project is designed to s</w:t>
      </w:r>
      <w:r w:rsidR="000651D1" w:rsidRPr="006F0F22">
        <w:rPr>
          <w:sz w:val="22"/>
          <w:szCs w:val="22"/>
          <w:lang w:val="en-GB"/>
        </w:rPr>
        <w:t xml:space="preserve">trengthen the financial </w:t>
      </w:r>
      <w:r w:rsidRPr="006F0F22">
        <w:rPr>
          <w:sz w:val="22"/>
          <w:szCs w:val="22"/>
          <w:lang w:val="en-GB"/>
        </w:rPr>
        <w:t>and operational framework of the national PA system in Guinea-Bissau and in doing so to contribute to its financial</w:t>
      </w:r>
      <w:r w:rsidR="007E2389" w:rsidRPr="006F0F22">
        <w:rPr>
          <w:sz w:val="22"/>
          <w:szCs w:val="22"/>
          <w:lang w:val="en-GB"/>
        </w:rPr>
        <w:t xml:space="preserve"> </w:t>
      </w:r>
      <w:r w:rsidR="000651D1" w:rsidRPr="006F0F22">
        <w:rPr>
          <w:sz w:val="22"/>
          <w:szCs w:val="22"/>
          <w:lang w:val="en-GB"/>
        </w:rPr>
        <w:t xml:space="preserve">sustainability and management effectiveness. This is in line with the first Biodiversity Focal Area Objective (Improving Sustainability of Protected Area Systems). Component </w:t>
      </w:r>
      <w:r w:rsidR="00EB6766" w:rsidRPr="006F0F22">
        <w:rPr>
          <w:sz w:val="22"/>
          <w:szCs w:val="22"/>
          <w:lang w:val="en-GB"/>
        </w:rPr>
        <w:t>1</w:t>
      </w:r>
      <w:r w:rsidR="000651D1" w:rsidRPr="006F0F22">
        <w:rPr>
          <w:sz w:val="22"/>
          <w:szCs w:val="22"/>
          <w:lang w:val="en-GB"/>
        </w:rPr>
        <w:t xml:space="preserve"> of the project will contribute to BD Focal Area Outcome 1.2: Increased revenue for protected area systems to meet total expenditures required for management. This will be achieved by </w:t>
      </w:r>
      <w:r w:rsidR="00974E44" w:rsidRPr="006F0F22">
        <w:rPr>
          <w:sz w:val="22"/>
          <w:szCs w:val="22"/>
          <w:lang w:val="en-GB"/>
        </w:rPr>
        <w:t>supporting the initial capitalis</w:t>
      </w:r>
      <w:r w:rsidR="000651D1" w:rsidRPr="006F0F22">
        <w:rPr>
          <w:sz w:val="22"/>
          <w:szCs w:val="22"/>
          <w:lang w:val="en-GB"/>
        </w:rPr>
        <w:t xml:space="preserve">ation of the </w:t>
      </w:r>
      <w:r w:rsidR="00B203C1" w:rsidRPr="006F0F22">
        <w:rPr>
          <w:sz w:val="22"/>
          <w:szCs w:val="22"/>
          <w:lang w:val="en-GB"/>
        </w:rPr>
        <w:t>BioGuinea</w:t>
      </w:r>
      <w:r w:rsidR="000651D1" w:rsidRPr="006F0F22">
        <w:rPr>
          <w:sz w:val="22"/>
          <w:szCs w:val="22"/>
          <w:lang w:val="en-GB"/>
        </w:rPr>
        <w:t xml:space="preserve"> Foundation which has been designed and set up in compliance with the key recommendations identified by the GEF for the effective establishment of trust funds</w:t>
      </w:r>
      <w:r w:rsidR="00F94A89" w:rsidRPr="006F0F22">
        <w:rPr>
          <w:sz w:val="22"/>
          <w:szCs w:val="22"/>
          <w:lang w:val="en-GB"/>
        </w:rPr>
        <w:t xml:space="preserve"> – the latter having been achieved </w:t>
      </w:r>
      <w:r w:rsidR="000651D1" w:rsidRPr="006F0F22">
        <w:rPr>
          <w:sz w:val="22"/>
          <w:szCs w:val="22"/>
          <w:lang w:val="en-GB"/>
        </w:rPr>
        <w:t>through prior intervention</w:t>
      </w:r>
      <w:r w:rsidR="00F94A89" w:rsidRPr="006F0F22">
        <w:rPr>
          <w:sz w:val="22"/>
          <w:szCs w:val="22"/>
          <w:lang w:val="en-GB"/>
        </w:rPr>
        <w:t>s by a World Bank-</w:t>
      </w:r>
      <w:r w:rsidR="000651D1" w:rsidRPr="006F0F22">
        <w:rPr>
          <w:sz w:val="22"/>
          <w:szCs w:val="22"/>
          <w:lang w:val="en-GB"/>
        </w:rPr>
        <w:t>GEF</w:t>
      </w:r>
      <w:r w:rsidR="00F94A89" w:rsidRPr="006F0F22">
        <w:rPr>
          <w:sz w:val="22"/>
          <w:szCs w:val="22"/>
          <w:lang w:val="en-GB"/>
        </w:rPr>
        <w:t xml:space="preserve"> project</w:t>
      </w:r>
      <w:r w:rsidR="000651D1" w:rsidRPr="006F0F22">
        <w:rPr>
          <w:sz w:val="22"/>
          <w:szCs w:val="22"/>
          <w:lang w:val="en-GB"/>
        </w:rPr>
        <w:t xml:space="preserve">. Component </w:t>
      </w:r>
      <w:r w:rsidR="00EB6766" w:rsidRPr="006F0F22">
        <w:rPr>
          <w:sz w:val="22"/>
          <w:szCs w:val="22"/>
          <w:lang w:val="en-GB"/>
        </w:rPr>
        <w:t>2</w:t>
      </w:r>
      <w:r w:rsidR="000651D1" w:rsidRPr="006F0F22">
        <w:rPr>
          <w:sz w:val="22"/>
          <w:szCs w:val="22"/>
          <w:lang w:val="en-GB"/>
        </w:rPr>
        <w:t xml:space="preserve"> of the project will contribute to BD Focal Area Outcome 1.1:</w:t>
      </w:r>
      <w:r w:rsidR="001D03D3" w:rsidRPr="006F0F22">
        <w:rPr>
          <w:sz w:val="22"/>
          <w:szCs w:val="22"/>
          <w:lang w:val="en-GB"/>
        </w:rPr>
        <w:t xml:space="preserve"> </w:t>
      </w:r>
      <w:r w:rsidR="000651D1" w:rsidRPr="006F0F22">
        <w:rPr>
          <w:sz w:val="22"/>
          <w:szCs w:val="22"/>
          <w:lang w:val="en-GB"/>
        </w:rPr>
        <w:t>Improved management effectiveness of existing and new</w:t>
      </w:r>
      <w:r w:rsidR="008B0DDF" w:rsidRPr="006F0F22">
        <w:rPr>
          <w:sz w:val="22"/>
          <w:szCs w:val="22"/>
          <w:lang w:val="en-GB"/>
        </w:rPr>
        <w:t xml:space="preserve"> </w:t>
      </w:r>
      <w:r w:rsidR="000651D1" w:rsidRPr="006F0F22">
        <w:rPr>
          <w:sz w:val="22"/>
          <w:szCs w:val="22"/>
          <w:lang w:val="en-GB"/>
        </w:rPr>
        <w:t>protected areas.</w:t>
      </w:r>
      <w:r w:rsidR="008B0DDF" w:rsidRPr="006F0F22">
        <w:rPr>
          <w:sz w:val="22"/>
          <w:szCs w:val="22"/>
          <w:lang w:val="en-GB"/>
        </w:rPr>
        <w:t xml:space="preserve"> </w:t>
      </w:r>
      <w:r w:rsidR="000651D1" w:rsidRPr="006F0F22">
        <w:rPr>
          <w:sz w:val="22"/>
          <w:szCs w:val="22"/>
          <w:lang w:val="en-GB"/>
        </w:rPr>
        <w:t xml:space="preserve">By </w:t>
      </w:r>
      <w:r w:rsidR="00EB6766" w:rsidRPr="006F0F22">
        <w:rPr>
          <w:sz w:val="22"/>
          <w:szCs w:val="22"/>
          <w:lang w:val="en-GB"/>
        </w:rPr>
        <w:t xml:space="preserve">operationalising and enhancing the management </w:t>
      </w:r>
      <w:r w:rsidR="000651D1" w:rsidRPr="006F0F22">
        <w:rPr>
          <w:sz w:val="22"/>
          <w:szCs w:val="22"/>
          <w:lang w:val="en-GB"/>
        </w:rPr>
        <w:t xml:space="preserve">of Cantanhez NP and of connected buffer zones, the project will contribute to the expansion and improved management effectiveness of </w:t>
      </w:r>
      <w:r w:rsidR="00F71D3E" w:rsidRPr="006F0F22">
        <w:rPr>
          <w:sz w:val="22"/>
          <w:szCs w:val="22"/>
          <w:lang w:val="en-GB"/>
        </w:rPr>
        <w:t>Guinea-Bissau</w:t>
      </w:r>
      <w:r w:rsidR="000651D1" w:rsidRPr="006F0F22">
        <w:rPr>
          <w:sz w:val="22"/>
          <w:szCs w:val="22"/>
          <w:lang w:val="en-GB"/>
        </w:rPr>
        <w:t xml:space="preserve">’s PA system. </w:t>
      </w:r>
    </w:p>
    <w:p w:rsidR="0095274A" w:rsidRPr="006F0F22" w:rsidRDefault="0095274A" w:rsidP="0000186A">
      <w:pPr>
        <w:pStyle w:val="Footer"/>
        <w:tabs>
          <w:tab w:val="clear" w:pos="4320"/>
          <w:tab w:val="clear" w:pos="8640"/>
        </w:tabs>
        <w:ind w:left="0"/>
        <w:contextualSpacing/>
        <w:jc w:val="both"/>
        <w:rPr>
          <w:sz w:val="22"/>
          <w:szCs w:val="22"/>
          <w:lang w:val="en-GB"/>
        </w:rPr>
      </w:pPr>
    </w:p>
    <w:p w:rsidR="0095274A" w:rsidRPr="006F0F22" w:rsidRDefault="003810E5" w:rsidP="0000186A">
      <w:pPr>
        <w:pStyle w:val="Footer"/>
        <w:numPr>
          <w:ilvl w:val="0"/>
          <w:numId w:val="24"/>
        </w:numPr>
        <w:tabs>
          <w:tab w:val="clear" w:pos="4320"/>
          <w:tab w:val="clear" w:pos="8640"/>
        </w:tabs>
        <w:ind w:left="0" w:firstLine="0"/>
        <w:contextualSpacing/>
        <w:jc w:val="both"/>
        <w:rPr>
          <w:sz w:val="22"/>
          <w:szCs w:val="22"/>
          <w:lang w:val="en-GB"/>
        </w:rPr>
      </w:pPr>
      <w:r w:rsidRPr="006F0F22">
        <w:rPr>
          <w:sz w:val="22"/>
          <w:szCs w:val="22"/>
          <w:lang w:val="en-GB"/>
        </w:rPr>
        <w:t>The project will help Guinea-</w:t>
      </w:r>
      <w:r w:rsidR="00EE28C1" w:rsidRPr="006F0F22">
        <w:rPr>
          <w:sz w:val="22"/>
          <w:szCs w:val="22"/>
          <w:lang w:val="en-GB"/>
        </w:rPr>
        <w:t>Bissau contribute to achieving the global Aichi Targets</w:t>
      </w:r>
      <w:r w:rsidR="00E35589" w:rsidRPr="006F0F22">
        <w:rPr>
          <w:sz w:val="22"/>
          <w:szCs w:val="22"/>
          <w:lang w:val="en-GB"/>
        </w:rPr>
        <w:t xml:space="preserve"> </w:t>
      </w:r>
      <w:r w:rsidR="00E35589" w:rsidRPr="006F0F22">
        <w:rPr>
          <w:sz w:val="22"/>
          <w:szCs w:val="22"/>
        </w:rPr>
        <w:t>through national action</w:t>
      </w:r>
      <w:r w:rsidR="00EE28C1" w:rsidRPr="006F0F22">
        <w:rPr>
          <w:sz w:val="22"/>
          <w:szCs w:val="22"/>
          <w:lang w:val="en-GB"/>
        </w:rPr>
        <w:t>, most importantly</w:t>
      </w:r>
      <w:r w:rsidR="00E35589" w:rsidRPr="006F0F22">
        <w:rPr>
          <w:sz w:val="22"/>
          <w:szCs w:val="22"/>
          <w:lang w:val="en-GB"/>
        </w:rPr>
        <w:t xml:space="preserve"> in relation to</w:t>
      </w:r>
      <w:r w:rsidR="00EE28C1" w:rsidRPr="006F0F22">
        <w:rPr>
          <w:sz w:val="22"/>
          <w:szCs w:val="22"/>
          <w:lang w:val="en-GB"/>
        </w:rPr>
        <w:t xml:space="preserve">:  </w:t>
      </w:r>
    </w:p>
    <w:p w:rsidR="00C10149" w:rsidRPr="006F0F22" w:rsidRDefault="00C10149" w:rsidP="0000186A">
      <w:pPr>
        <w:ind w:left="0"/>
        <w:contextualSpacing/>
        <w:rPr>
          <w:sz w:val="22"/>
          <w:szCs w:val="22"/>
          <w:lang w:val="en-GB"/>
        </w:rPr>
      </w:pPr>
    </w:p>
    <w:p w:rsidR="00C10149" w:rsidRPr="006F0F22" w:rsidRDefault="00C10149" w:rsidP="0000186A">
      <w:pPr>
        <w:pStyle w:val="ListParagraph"/>
        <w:spacing w:after="0" w:line="240" w:lineRule="auto"/>
        <w:ind w:left="357" w:hanging="357"/>
        <w:rPr>
          <w:szCs w:val="22"/>
        </w:rPr>
      </w:pPr>
      <w:r w:rsidRPr="006F0F22">
        <w:rPr>
          <w:szCs w:val="22"/>
        </w:rPr>
        <w:t>Target</w:t>
      </w:r>
      <w:r w:rsidR="00E35589" w:rsidRPr="006F0F22">
        <w:rPr>
          <w:szCs w:val="22"/>
        </w:rPr>
        <w:t>s</w:t>
      </w:r>
      <w:r w:rsidRPr="006F0F22">
        <w:rPr>
          <w:szCs w:val="22"/>
        </w:rPr>
        <w:t xml:space="preserve"> 5</w:t>
      </w:r>
      <w:r w:rsidR="00E35589" w:rsidRPr="006F0F22">
        <w:rPr>
          <w:rStyle w:val="FootnoteReference"/>
          <w:szCs w:val="22"/>
        </w:rPr>
        <w:footnoteReference w:id="24"/>
      </w:r>
      <w:r w:rsidR="00B41817" w:rsidRPr="006F0F22">
        <w:rPr>
          <w:szCs w:val="22"/>
        </w:rPr>
        <w:t xml:space="preserve"> and 12</w:t>
      </w:r>
      <w:r w:rsidR="00B41817" w:rsidRPr="006F0F22">
        <w:rPr>
          <w:rStyle w:val="FootnoteReference"/>
          <w:szCs w:val="22"/>
        </w:rPr>
        <w:footnoteReference w:id="25"/>
      </w:r>
      <w:r w:rsidR="00B41817" w:rsidRPr="006F0F22">
        <w:rPr>
          <w:szCs w:val="22"/>
        </w:rPr>
        <w:t xml:space="preserve">, </w:t>
      </w:r>
      <w:r w:rsidR="003810E5" w:rsidRPr="006F0F22">
        <w:rPr>
          <w:szCs w:val="22"/>
        </w:rPr>
        <w:t xml:space="preserve">by reducing the </w:t>
      </w:r>
      <w:r w:rsidR="00FA6EF0" w:rsidRPr="006F0F22">
        <w:rPr>
          <w:szCs w:val="22"/>
        </w:rPr>
        <w:t xml:space="preserve">rate of </w:t>
      </w:r>
      <w:r w:rsidR="003810E5" w:rsidRPr="006F0F22">
        <w:rPr>
          <w:szCs w:val="22"/>
        </w:rPr>
        <w:t xml:space="preserve">loss </w:t>
      </w:r>
      <w:r w:rsidR="004A77A9" w:rsidRPr="006F0F22">
        <w:rPr>
          <w:szCs w:val="22"/>
        </w:rPr>
        <w:t xml:space="preserve">and degradation </w:t>
      </w:r>
      <w:r w:rsidR="003810E5" w:rsidRPr="006F0F22">
        <w:rPr>
          <w:szCs w:val="22"/>
        </w:rPr>
        <w:t xml:space="preserve">of natural habitats and forests </w:t>
      </w:r>
      <w:r w:rsidR="00FA6EF0" w:rsidRPr="006F0F22">
        <w:rPr>
          <w:szCs w:val="22"/>
        </w:rPr>
        <w:t>in Guinea Bissau</w:t>
      </w:r>
      <w:r w:rsidR="00B41817" w:rsidRPr="006F0F22">
        <w:rPr>
          <w:szCs w:val="22"/>
        </w:rPr>
        <w:t xml:space="preserve"> and thereby improving the conservation status of globally threatened species preventing their extinction</w:t>
      </w:r>
      <w:r w:rsidR="00FA6EF0" w:rsidRPr="006F0F22">
        <w:rPr>
          <w:szCs w:val="22"/>
        </w:rPr>
        <w:t xml:space="preserve">: directly through the project intervention </w:t>
      </w:r>
      <w:r w:rsidR="003810E5" w:rsidRPr="006F0F22">
        <w:rPr>
          <w:szCs w:val="22"/>
        </w:rPr>
        <w:t>inside and adjacent to Cantanhez NP</w:t>
      </w:r>
      <w:r w:rsidR="00FA6EF0" w:rsidRPr="006F0F22">
        <w:rPr>
          <w:szCs w:val="22"/>
        </w:rPr>
        <w:t xml:space="preserve">, and more generally by providing a sustainable flow of funding for </w:t>
      </w:r>
      <w:r w:rsidR="00B41817" w:rsidRPr="006F0F22">
        <w:rPr>
          <w:szCs w:val="22"/>
        </w:rPr>
        <w:t xml:space="preserve">biodiversity conservation and </w:t>
      </w:r>
      <w:r w:rsidR="00FA6EF0" w:rsidRPr="006F0F22">
        <w:rPr>
          <w:szCs w:val="22"/>
        </w:rPr>
        <w:t xml:space="preserve">PA management in the country </w:t>
      </w:r>
      <w:r w:rsidR="004A77A9" w:rsidRPr="006F0F22">
        <w:rPr>
          <w:szCs w:val="22"/>
        </w:rPr>
        <w:t>as a whole</w:t>
      </w:r>
      <w:r w:rsidR="00901553" w:rsidRPr="006F0F22">
        <w:rPr>
          <w:szCs w:val="22"/>
        </w:rPr>
        <w:t>;</w:t>
      </w:r>
      <w:r w:rsidRPr="006F0F22">
        <w:rPr>
          <w:szCs w:val="22"/>
        </w:rPr>
        <w:t xml:space="preserve"> </w:t>
      </w:r>
    </w:p>
    <w:p w:rsidR="00C10149" w:rsidRPr="006F0F22" w:rsidRDefault="00C10149" w:rsidP="0000186A">
      <w:pPr>
        <w:pStyle w:val="ListParagraph"/>
        <w:spacing w:after="0" w:line="240" w:lineRule="auto"/>
        <w:ind w:left="357" w:hanging="357"/>
        <w:rPr>
          <w:szCs w:val="22"/>
        </w:rPr>
      </w:pPr>
      <w:r w:rsidRPr="006F0F22">
        <w:rPr>
          <w:szCs w:val="22"/>
        </w:rPr>
        <w:t>Target 11</w:t>
      </w:r>
      <w:r w:rsidR="00494011" w:rsidRPr="006F0F22">
        <w:rPr>
          <w:rStyle w:val="FootnoteReference"/>
          <w:szCs w:val="22"/>
        </w:rPr>
        <w:footnoteReference w:id="26"/>
      </w:r>
      <w:r w:rsidR="004A77A9" w:rsidRPr="006F0F22">
        <w:rPr>
          <w:szCs w:val="22"/>
        </w:rPr>
        <w:t>, by adding the long-gazetted Cantanhez NP to the cohort of effectively managed PAs in Guinea-Bissau</w:t>
      </w:r>
      <w:r w:rsidR="00901553" w:rsidRPr="006F0F22">
        <w:rPr>
          <w:szCs w:val="22"/>
        </w:rPr>
        <w:t>;</w:t>
      </w:r>
    </w:p>
    <w:p w:rsidR="00F32A37" w:rsidRPr="006F0F22" w:rsidRDefault="009E70E5" w:rsidP="0000186A">
      <w:pPr>
        <w:pStyle w:val="ListParagraph"/>
        <w:spacing w:after="0" w:line="240" w:lineRule="auto"/>
        <w:ind w:left="357" w:hanging="357"/>
        <w:rPr>
          <w:szCs w:val="22"/>
        </w:rPr>
      </w:pPr>
      <w:r w:rsidRPr="006F0F22">
        <w:rPr>
          <w:szCs w:val="22"/>
        </w:rPr>
        <w:t>Target 20</w:t>
      </w:r>
      <w:r w:rsidR="00494011" w:rsidRPr="006F0F22">
        <w:rPr>
          <w:rStyle w:val="FootnoteReference"/>
          <w:szCs w:val="22"/>
        </w:rPr>
        <w:footnoteReference w:id="27"/>
      </w:r>
      <w:r w:rsidR="00F32A37" w:rsidRPr="006F0F22">
        <w:rPr>
          <w:szCs w:val="22"/>
        </w:rPr>
        <w:t>, by providing a sustainable long-term flow of financial resources for biodiversity conservation and PA management</w:t>
      </w:r>
      <w:r w:rsidR="00901553" w:rsidRPr="006F0F22">
        <w:rPr>
          <w:szCs w:val="22"/>
        </w:rPr>
        <w:t xml:space="preserve"> </w:t>
      </w:r>
      <w:r w:rsidR="00F32A37" w:rsidRPr="006F0F22">
        <w:rPr>
          <w:szCs w:val="22"/>
        </w:rPr>
        <w:t xml:space="preserve">covering at least 25% of the </w:t>
      </w:r>
      <w:r w:rsidR="00901553" w:rsidRPr="006F0F22">
        <w:rPr>
          <w:szCs w:val="22"/>
        </w:rPr>
        <w:t xml:space="preserve">recurrent costs of managing the national PA system; this is a good start and </w:t>
      </w:r>
      <w:r w:rsidR="004D4593" w:rsidRPr="006F0F22">
        <w:rPr>
          <w:szCs w:val="22"/>
        </w:rPr>
        <w:t xml:space="preserve">key leverage for </w:t>
      </w:r>
      <w:r w:rsidR="00901553" w:rsidRPr="006F0F22">
        <w:rPr>
          <w:szCs w:val="22"/>
        </w:rPr>
        <w:t>further increa</w:t>
      </w:r>
      <w:r w:rsidR="004D4593" w:rsidRPr="006F0F22">
        <w:rPr>
          <w:szCs w:val="22"/>
        </w:rPr>
        <w:t>sing</w:t>
      </w:r>
      <w:r w:rsidR="00901553" w:rsidRPr="006F0F22">
        <w:rPr>
          <w:szCs w:val="22"/>
        </w:rPr>
        <w:t xml:space="preserve"> resource availability</w:t>
      </w:r>
      <w:r w:rsidR="004D4593" w:rsidRPr="006F0F22">
        <w:rPr>
          <w:szCs w:val="22"/>
        </w:rPr>
        <w:t xml:space="preserve"> in the future / by 2020</w:t>
      </w:r>
      <w:r w:rsidR="00901553" w:rsidRPr="006F0F22">
        <w:rPr>
          <w:szCs w:val="22"/>
        </w:rPr>
        <w:t>.</w:t>
      </w:r>
      <w:r w:rsidR="00F32A37" w:rsidRPr="006F0F22">
        <w:rPr>
          <w:szCs w:val="22"/>
        </w:rPr>
        <w:t xml:space="preserve"> </w:t>
      </w:r>
    </w:p>
    <w:p w:rsidR="00494011" w:rsidRPr="006F0F22" w:rsidRDefault="00494011" w:rsidP="0000186A">
      <w:pPr>
        <w:pStyle w:val="ListParagraph"/>
        <w:spacing w:after="0" w:line="240" w:lineRule="auto"/>
        <w:ind w:left="357" w:hanging="357"/>
        <w:rPr>
          <w:szCs w:val="22"/>
        </w:rPr>
      </w:pPr>
      <w:r w:rsidRPr="006F0F22">
        <w:rPr>
          <w:szCs w:val="22"/>
        </w:rPr>
        <w:lastRenderedPageBreak/>
        <w:t>Target 7</w:t>
      </w:r>
      <w:r w:rsidRPr="006F0F22">
        <w:rPr>
          <w:rStyle w:val="FootnoteReference"/>
          <w:szCs w:val="22"/>
        </w:rPr>
        <w:footnoteReference w:id="28"/>
      </w:r>
      <w:r w:rsidR="00CF12E6" w:rsidRPr="006F0F22">
        <w:rPr>
          <w:szCs w:val="22"/>
        </w:rPr>
        <w:t>, b</w:t>
      </w:r>
      <w:r w:rsidRPr="006F0F22">
        <w:rPr>
          <w:szCs w:val="22"/>
        </w:rPr>
        <w:t xml:space="preserve">y </w:t>
      </w:r>
      <w:r w:rsidR="00CF12E6" w:rsidRPr="006F0F22">
        <w:rPr>
          <w:szCs w:val="22"/>
        </w:rPr>
        <w:t>promoting a more biodiversity-friendly management of forest resources in areas around Cantanhez NP and more generally, through a pilot enhancing coordination between IBAP and DGFF</w:t>
      </w:r>
      <w:r w:rsidRPr="006F0F22">
        <w:rPr>
          <w:szCs w:val="22"/>
        </w:rPr>
        <w:t>.</w:t>
      </w:r>
    </w:p>
    <w:p w:rsidR="00C10149" w:rsidRPr="006F0F22" w:rsidRDefault="009E70E5" w:rsidP="0000186A">
      <w:pPr>
        <w:pStyle w:val="ListParagraph"/>
        <w:spacing w:after="0" w:line="240" w:lineRule="auto"/>
        <w:ind w:left="357" w:hanging="357"/>
        <w:rPr>
          <w:szCs w:val="22"/>
        </w:rPr>
      </w:pPr>
      <w:r w:rsidRPr="006F0F22">
        <w:rPr>
          <w:szCs w:val="22"/>
        </w:rPr>
        <w:t>Target 15</w:t>
      </w:r>
      <w:r w:rsidR="00494011" w:rsidRPr="006F0F22">
        <w:rPr>
          <w:rStyle w:val="FootnoteReference"/>
          <w:szCs w:val="22"/>
        </w:rPr>
        <w:footnoteReference w:id="29"/>
      </w:r>
      <w:r w:rsidR="00E37DA5" w:rsidRPr="006F0F22">
        <w:rPr>
          <w:szCs w:val="22"/>
        </w:rPr>
        <w:t xml:space="preserve">, by preparing the ground </w:t>
      </w:r>
      <w:r w:rsidR="003C7576" w:rsidRPr="006F0F22">
        <w:rPr>
          <w:szCs w:val="22"/>
        </w:rPr>
        <w:t xml:space="preserve">for REDD initiatives in Cantanhez NP </w:t>
      </w:r>
      <w:r w:rsidR="00E37DA5" w:rsidRPr="006F0F22">
        <w:rPr>
          <w:szCs w:val="22"/>
        </w:rPr>
        <w:t xml:space="preserve">and working towards the maintenance of </w:t>
      </w:r>
      <w:r w:rsidR="003C7576" w:rsidRPr="006F0F22">
        <w:rPr>
          <w:szCs w:val="22"/>
        </w:rPr>
        <w:t xml:space="preserve">its significant </w:t>
      </w:r>
      <w:r w:rsidR="00E37DA5" w:rsidRPr="006F0F22">
        <w:rPr>
          <w:szCs w:val="22"/>
        </w:rPr>
        <w:t>threatened forest carbon stock</w:t>
      </w:r>
      <w:r w:rsidRPr="006F0F22">
        <w:rPr>
          <w:szCs w:val="22"/>
        </w:rPr>
        <w:t>.</w:t>
      </w:r>
    </w:p>
    <w:p w:rsidR="0000186A" w:rsidRPr="006F0F22" w:rsidRDefault="0000186A" w:rsidP="0000186A">
      <w:pPr>
        <w:pStyle w:val="ListParagraph"/>
        <w:numPr>
          <w:ilvl w:val="0"/>
          <w:numId w:val="0"/>
        </w:numPr>
        <w:spacing w:after="0" w:line="240" w:lineRule="auto"/>
        <w:ind w:left="357"/>
        <w:rPr>
          <w:szCs w:val="22"/>
        </w:rPr>
      </w:pPr>
    </w:p>
    <w:p w:rsidR="000651D1" w:rsidRPr="006F0F22" w:rsidRDefault="000651D1" w:rsidP="0000186A">
      <w:pPr>
        <w:pStyle w:val="Heading4"/>
        <w:ind w:left="0"/>
        <w:rPr>
          <w:u w:val="single"/>
        </w:rPr>
      </w:pPr>
      <w:r w:rsidRPr="006F0F22">
        <w:rPr>
          <w:u w:val="single"/>
        </w:rPr>
        <w:t>B.3</w:t>
      </w:r>
      <w:r w:rsidR="00EB6766" w:rsidRPr="006F0F22">
        <w:rPr>
          <w:u w:val="single"/>
        </w:rPr>
        <w:t>.</w:t>
      </w:r>
      <w:r w:rsidR="001D03D3" w:rsidRPr="006F0F22">
        <w:rPr>
          <w:u w:val="single"/>
        </w:rPr>
        <w:t xml:space="preserve"> </w:t>
      </w:r>
      <w:r w:rsidRPr="006F0F22">
        <w:rPr>
          <w:u w:val="single"/>
        </w:rPr>
        <w:t xml:space="preserve">The GEF Agency’s comparative advantage for implementing this project: </w:t>
      </w:r>
    </w:p>
    <w:p w:rsidR="008114E2" w:rsidRPr="006F0F22" w:rsidRDefault="008114E2" w:rsidP="0000186A">
      <w:pPr>
        <w:pStyle w:val="Footer"/>
        <w:tabs>
          <w:tab w:val="left" w:pos="0"/>
          <w:tab w:val="left" w:pos="227"/>
          <w:tab w:val="left" w:pos="340"/>
          <w:tab w:val="left" w:pos="397"/>
          <w:tab w:val="left" w:pos="720"/>
        </w:tabs>
        <w:ind w:left="0"/>
        <w:contextualSpacing/>
        <w:jc w:val="both"/>
        <w:rPr>
          <w:color w:val="92D050"/>
          <w:lang w:val="en-GB"/>
        </w:rPr>
      </w:pPr>
    </w:p>
    <w:p w:rsidR="000651D1" w:rsidRPr="006F0F22" w:rsidRDefault="000651D1" w:rsidP="0000186A">
      <w:pPr>
        <w:pStyle w:val="Footer"/>
        <w:numPr>
          <w:ilvl w:val="0"/>
          <w:numId w:val="24"/>
        </w:numPr>
        <w:tabs>
          <w:tab w:val="clear" w:pos="4320"/>
          <w:tab w:val="clear" w:pos="8640"/>
        </w:tabs>
        <w:ind w:left="0" w:firstLine="0"/>
        <w:contextualSpacing/>
        <w:jc w:val="both"/>
        <w:rPr>
          <w:sz w:val="22"/>
          <w:szCs w:val="22"/>
          <w:lang w:val="en-GB"/>
        </w:rPr>
      </w:pPr>
      <w:r w:rsidRPr="006F0F22">
        <w:rPr>
          <w:sz w:val="22"/>
          <w:szCs w:val="22"/>
          <w:lang w:val="en-GB"/>
        </w:rPr>
        <w:t>UNDP</w:t>
      </w:r>
      <w:r w:rsidR="00740BE6" w:rsidRPr="006F0F22">
        <w:rPr>
          <w:sz w:val="22"/>
          <w:szCs w:val="22"/>
          <w:lang w:val="en-GB"/>
        </w:rPr>
        <w:t xml:space="preserve"> has been the initiator and is currently implementing </w:t>
      </w:r>
      <w:r w:rsidRPr="006F0F22">
        <w:rPr>
          <w:sz w:val="22"/>
          <w:szCs w:val="22"/>
          <w:lang w:val="en-GB"/>
        </w:rPr>
        <w:t>the GEF funded project to consolidate the PA system in Guinea-Bissau’s Forest Belt (GEF ID 3575). The agency is thus uniquely placed to optimi</w:t>
      </w:r>
      <w:r w:rsidR="00DF471B" w:rsidRPr="006F0F22">
        <w:rPr>
          <w:sz w:val="22"/>
          <w:szCs w:val="22"/>
          <w:lang w:val="en-GB"/>
        </w:rPr>
        <w:t>s</w:t>
      </w:r>
      <w:r w:rsidRPr="006F0F22">
        <w:rPr>
          <w:sz w:val="22"/>
          <w:szCs w:val="22"/>
          <w:lang w:val="en-GB"/>
        </w:rPr>
        <w:t>e coordination arrangements and develop effective synergies between these two GEF supported projects. In addition UNDP is committing significant co-funding to both projects</w:t>
      </w:r>
      <w:r w:rsidR="00846C20" w:rsidRPr="006F0F22">
        <w:rPr>
          <w:sz w:val="22"/>
          <w:szCs w:val="22"/>
          <w:lang w:val="en-GB"/>
        </w:rPr>
        <w:t xml:space="preserve"> – including $400,000 to the here-proposed project</w:t>
      </w:r>
      <w:r w:rsidR="00DF471B" w:rsidRPr="006F0F22">
        <w:rPr>
          <w:sz w:val="22"/>
          <w:szCs w:val="22"/>
          <w:lang w:val="en-GB"/>
        </w:rPr>
        <w:t xml:space="preserve"> and its preparation</w:t>
      </w:r>
      <w:r w:rsidRPr="006F0F22">
        <w:rPr>
          <w:sz w:val="22"/>
          <w:szCs w:val="22"/>
          <w:lang w:val="en-GB"/>
        </w:rPr>
        <w:t xml:space="preserve">. UNDP also </w:t>
      </w:r>
      <w:r w:rsidR="00740BE6" w:rsidRPr="006F0F22">
        <w:rPr>
          <w:sz w:val="22"/>
          <w:szCs w:val="22"/>
          <w:lang w:val="en-GB"/>
        </w:rPr>
        <w:t>has important advantages, both globally and in the specific context of Guinea-Bissau. The global UNDP</w:t>
      </w:r>
      <w:r w:rsidR="00846C20" w:rsidRPr="006F0F22">
        <w:rPr>
          <w:sz w:val="22"/>
          <w:szCs w:val="22"/>
          <w:lang w:val="en-GB"/>
        </w:rPr>
        <w:t xml:space="preserve">-GEF portfolio </w:t>
      </w:r>
      <w:r w:rsidR="00740BE6" w:rsidRPr="006F0F22">
        <w:rPr>
          <w:sz w:val="22"/>
          <w:szCs w:val="22"/>
          <w:lang w:val="en-GB"/>
        </w:rPr>
        <w:t xml:space="preserve">already includes a </w:t>
      </w:r>
      <w:r w:rsidR="00846C20" w:rsidRPr="006F0F22">
        <w:rPr>
          <w:sz w:val="22"/>
          <w:szCs w:val="22"/>
          <w:lang w:val="en-GB"/>
        </w:rPr>
        <w:t xml:space="preserve">plethora </w:t>
      </w:r>
      <w:r w:rsidR="00740BE6" w:rsidRPr="006F0F22">
        <w:rPr>
          <w:sz w:val="22"/>
          <w:szCs w:val="22"/>
          <w:lang w:val="en-GB"/>
        </w:rPr>
        <w:t xml:space="preserve">of projects successfully supporting </w:t>
      </w:r>
      <w:r w:rsidR="00846C20" w:rsidRPr="006F0F22">
        <w:rPr>
          <w:sz w:val="22"/>
          <w:szCs w:val="22"/>
          <w:lang w:val="en-GB"/>
        </w:rPr>
        <w:t xml:space="preserve">enhanced PA management effectiveness and </w:t>
      </w:r>
      <w:r w:rsidR="00740BE6" w:rsidRPr="006F0F22">
        <w:rPr>
          <w:sz w:val="22"/>
          <w:szCs w:val="22"/>
          <w:lang w:val="en-GB"/>
        </w:rPr>
        <w:t xml:space="preserve">improvements in the </w:t>
      </w:r>
      <w:r w:rsidR="00846C20" w:rsidRPr="006F0F22">
        <w:rPr>
          <w:sz w:val="22"/>
          <w:szCs w:val="22"/>
          <w:lang w:val="en-GB"/>
        </w:rPr>
        <w:t xml:space="preserve">financial </w:t>
      </w:r>
      <w:r w:rsidRPr="006F0F22">
        <w:rPr>
          <w:sz w:val="22"/>
          <w:szCs w:val="22"/>
          <w:lang w:val="en-GB"/>
        </w:rPr>
        <w:t xml:space="preserve">sustainability of </w:t>
      </w:r>
      <w:r w:rsidR="00740BE6" w:rsidRPr="006F0F22">
        <w:rPr>
          <w:sz w:val="22"/>
          <w:szCs w:val="22"/>
          <w:lang w:val="en-GB"/>
        </w:rPr>
        <w:t xml:space="preserve">PA systems. </w:t>
      </w:r>
      <w:r w:rsidR="00846C20" w:rsidRPr="006F0F22">
        <w:rPr>
          <w:sz w:val="22"/>
          <w:szCs w:val="22"/>
          <w:lang w:val="en-GB"/>
        </w:rPr>
        <w:t xml:space="preserve">UNDP is also currently </w:t>
      </w:r>
      <w:r w:rsidR="00974E44" w:rsidRPr="006F0F22">
        <w:rPr>
          <w:sz w:val="22"/>
          <w:szCs w:val="22"/>
          <w:lang w:val="en-GB"/>
        </w:rPr>
        <w:t xml:space="preserve">initiating its multi-donor Global Biodiversity Finance Initiative which will further provide cutting-edge input on financing mechanisms. </w:t>
      </w:r>
      <w:r w:rsidR="00740BE6" w:rsidRPr="006F0F22">
        <w:rPr>
          <w:sz w:val="22"/>
          <w:szCs w:val="22"/>
          <w:lang w:val="en-GB"/>
        </w:rPr>
        <w:t xml:space="preserve">Nationally, its development mandate and long-term presence in the field, enables UNDP to address the development/conservation nexus from a true vantage point. By playing a central facilitating role in bringing together government, civil society and other key stakeholders, UNDP </w:t>
      </w:r>
      <w:r w:rsidR="008B0DDF" w:rsidRPr="006F0F22">
        <w:rPr>
          <w:sz w:val="22"/>
          <w:szCs w:val="22"/>
          <w:lang w:val="en-GB"/>
        </w:rPr>
        <w:t>will</w:t>
      </w:r>
      <w:r w:rsidR="00740BE6" w:rsidRPr="006F0F22">
        <w:rPr>
          <w:sz w:val="22"/>
          <w:szCs w:val="22"/>
          <w:lang w:val="en-GB"/>
        </w:rPr>
        <w:t xml:space="preserve"> effectively support project implementation and contribute to the achievement of the underlying GEF Focal Area objective.</w:t>
      </w:r>
    </w:p>
    <w:p w:rsidR="00D43F7C" w:rsidRDefault="00D43F7C" w:rsidP="008114E2">
      <w:pPr>
        <w:pStyle w:val="Footer"/>
        <w:tabs>
          <w:tab w:val="clear" w:pos="4320"/>
          <w:tab w:val="clear" w:pos="8640"/>
        </w:tabs>
        <w:ind w:left="0"/>
        <w:contextualSpacing/>
        <w:rPr>
          <w:b/>
          <w:caps/>
          <w:sz w:val="22"/>
          <w:szCs w:val="22"/>
          <w:u w:val="single"/>
          <w:lang w:val="en-GB"/>
        </w:rPr>
      </w:pPr>
    </w:p>
    <w:p w:rsidR="004202DC" w:rsidRPr="00A030F3" w:rsidRDefault="004202DC" w:rsidP="008114E2">
      <w:pPr>
        <w:pStyle w:val="Footer"/>
        <w:tabs>
          <w:tab w:val="clear" w:pos="4320"/>
          <w:tab w:val="clear" w:pos="8640"/>
        </w:tabs>
        <w:ind w:left="0"/>
        <w:contextualSpacing/>
        <w:rPr>
          <w:b/>
          <w:caps/>
          <w:sz w:val="22"/>
          <w:szCs w:val="22"/>
          <w:u w:val="single"/>
          <w:lang w:val="en-GB"/>
        </w:rPr>
      </w:pPr>
    </w:p>
    <w:p w:rsidR="00D43F7C" w:rsidRPr="00A030F3" w:rsidRDefault="00D43F7C" w:rsidP="00D43F7C">
      <w:pPr>
        <w:ind w:left="0"/>
        <w:contextualSpacing/>
        <w:rPr>
          <w:b/>
          <w:caps/>
          <w:color w:val="00B0F0"/>
          <w:sz w:val="22"/>
          <w:szCs w:val="22"/>
          <w:u w:val="single"/>
          <w:lang w:val="en-GB"/>
        </w:rPr>
      </w:pPr>
      <w:r w:rsidRPr="00A030F3">
        <w:rPr>
          <w:b/>
          <w:caps/>
          <w:color w:val="00B0F0"/>
          <w:sz w:val="22"/>
          <w:szCs w:val="22"/>
          <w:u w:val="single"/>
          <w:lang w:val="en-GB"/>
        </w:rPr>
        <w:t>part iii:  approval/endorsement by gef operational focal point(s) and GEF agency(ies)</w:t>
      </w:r>
    </w:p>
    <w:p w:rsidR="00D43F7C" w:rsidRPr="00A030F3" w:rsidRDefault="00D43F7C" w:rsidP="00D43F7C">
      <w:pPr>
        <w:ind w:left="0"/>
        <w:contextualSpacing/>
        <w:rPr>
          <w:b/>
          <w:smallCaps/>
          <w:sz w:val="22"/>
          <w:szCs w:val="22"/>
          <w:lang w:val="en-GB"/>
        </w:rPr>
      </w:pPr>
    </w:p>
    <w:p w:rsidR="00D43F7C" w:rsidRPr="00A030F3" w:rsidRDefault="00D43F7C" w:rsidP="00D43F7C">
      <w:pPr>
        <w:ind w:left="0"/>
        <w:contextualSpacing/>
        <w:rPr>
          <w:sz w:val="22"/>
          <w:szCs w:val="22"/>
          <w:lang w:val="en-GB"/>
        </w:rPr>
      </w:pPr>
      <w:r w:rsidRPr="00A030F3">
        <w:rPr>
          <w:b/>
          <w:smallCaps/>
          <w:sz w:val="22"/>
          <w:szCs w:val="22"/>
          <w:lang w:val="en-GB"/>
        </w:rPr>
        <w:t xml:space="preserve">A. </w:t>
      </w:r>
      <w:r w:rsidRPr="00A030F3">
        <w:rPr>
          <w:b/>
          <w:smallCaps/>
          <w:sz w:val="22"/>
          <w:szCs w:val="22"/>
          <w:lang w:val="en-GB"/>
        </w:rPr>
        <w:tab/>
      </w:r>
      <w:r w:rsidRPr="00A030F3">
        <w:rPr>
          <w:b/>
          <w:bCs/>
          <w:smallCaps/>
          <w:sz w:val="22"/>
          <w:szCs w:val="22"/>
          <w:lang w:val="en-GB"/>
        </w:rPr>
        <w:t>Record of Endorsement of GEF Operational Focal Point(S) on Behalf of the Government(S):</w:t>
      </w:r>
      <w:r w:rsidRPr="00A030F3">
        <w:rPr>
          <w:sz w:val="22"/>
          <w:szCs w:val="22"/>
          <w:lang w:val="en-GB"/>
        </w:rPr>
        <w:t xml:space="preserve"> (Please attach the</w:t>
      </w:r>
      <w:r w:rsidRPr="00A030F3">
        <w:rPr>
          <w:color w:val="0000FF"/>
          <w:sz w:val="22"/>
          <w:szCs w:val="22"/>
          <w:lang w:val="en-GB"/>
        </w:rPr>
        <w:t xml:space="preserve"> </w:t>
      </w:r>
      <w:hyperlink r:id="rId11" w:history="1">
        <w:r w:rsidRPr="00A030F3">
          <w:rPr>
            <w:color w:val="0000FF"/>
            <w:sz w:val="22"/>
            <w:u w:val="single"/>
            <w:lang w:val="en-GB"/>
          </w:rPr>
          <w:t>Operational Focal Point endorsement letter(s)</w:t>
        </w:r>
      </w:hyperlink>
      <w:r w:rsidRPr="00A030F3">
        <w:rPr>
          <w:sz w:val="22"/>
          <w:szCs w:val="22"/>
          <w:lang w:val="en-GB"/>
        </w:rPr>
        <w:t xml:space="preserve"> with this template. For SGP, use this </w:t>
      </w:r>
      <w:hyperlink r:id="rId12" w:history="1">
        <w:r w:rsidRPr="00A030F3">
          <w:rPr>
            <w:color w:val="0000FF"/>
            <w:sz w:val="22"/>
            <w:u w:val="single"/>
            <w:lang w:val="en-GB"/>
          </w:rPr>
          <w:t>OFP endorsement letter</w:t>
        </w:r>
      </w:hyperlink>
      <w:r w:rsidRPr="00A030F3">
        <w:rPr>
          <w:sz w:val="22"/>
          <w:szCs w:val="22"/>
          <w:lang w:val="en-GB"/>
        </w:rPr>
        <w:t>).</w:t>
      </w:r>
    </w:p>
    <w:p w:rsidR="00D43F7C" w:rsidRPr="00A030F3" w:rsidRDefault="00D43F7C" w:rsidP="00D43F7C">
      <w:pPr>
        <w:ind w:left="0"/>
        <w:contextualSpacing/>
        <w:rPr>
          <w:b/>
          <w:caps/>
          <w:color w:val="00B0F0"/>
          <w:sz w:val="22"/>
          <w:szCs w:val="22"/>
          <w:u w:val="single"/>
          <w:lang w:val="en-GB"/>
        </w:rPr>
      </w:pPr>
    </w:p>
    <w:tbl>
      <w:tblPr>
        <w:tblStyle w:val="TableGrid1"/>
        <w:tblW w:w="11057" w:type="dxa"/>
        <w:tblInd w:w="108" w:type="dxa"/>
        <w:tblLook w:val="04A0" w:firstRow="1" w:lastRow="0" w:firstColumn="1" w:lastColumn="0" w:noHBand="0" w:noVBand="1"/>
      </w:tblPr>
      <w:tblGrid>
        <w:gridCol w:w="2694"/>
        <w:gridCol w:w="2835"/>
        <w:gridCol w:w="3969"/>
        <w:gridCol w:w="1559"/>
      </w:tblGrid>
      <w:tr w:rsidR="00D43F7C" w:rsidRPr="00A030F3" w:rsidTr="00836C8F">
        <w:tc>
          <w:tcPr>
            <w:tcW w:w="2694" w:type="dxa"/>
            <w:vAlign w:val="center"/>
          </w:tcPr>
          <w:p w:rsidR="00D43F7C" w:rsidRPr="00A030F3" w:rsidRDefault="00D43F7C" w:rsidP="00D43F7C">
            <w:pPr>
              <w:contextualSpacing/>
              <w:jc w:val="center"/>
              <w:rPr>
                <w:b/>
                <w:sz w:val="20"/>
                <w:szCs w:val="20"/>
                <w:lang w:val="en-GB"/>
              </w:rPr>
            </w:pPr>
            <w:r w:rsidRPr="00A030F3">
              <w:rPr>
                <w:b/>
                <w:sz w:val="20"/>
                <w:szCs w:val="20"/>
                <w:lang w:val="en-GB"/>
              </w:rPr>
              <w:t>Name</w:t>
            </w:r>
          </w:p>
        </w:tc>
        <w:tc>
          <w:tcPr>
            <w:tcW w:w="2835" w:type="dxa"/>
            <w:vAlign w:val="center"/>
          </w:tcPr>
          <w:p w:rsidR="00D43F7C" w:rsidRPr="00A030F3" w:rsidRDefault="00D43F7C" w:rsidP="00D43F7C">
            <w:pPr>
              <w:contextualSpacing/>
              <w:jc w:val="center"/>
              <w:rPr>
                <w:b/>
                <w:sz w:val="20"/>
                <w:szCs w:val="20"/>
                <w:lang w:val="en-GB"/>
              </w:rPr>
            </w:pPr>
            <w:r w:rsidRPr="00A030F3">
              <w:rPr>
                <w:b/>
                <w:sz w:val="20"/>
                <w:szCs w:val="20"/>
                <w:lang w:val="en-GB"/>
              </w:rPr>
              <w:t>Position</w:t>
            </w:r>
          </w:p>
        </w:tc>
        <w:tc>
          <w:tcPr>
            <w:tcW w:w="3969" w:type="dxa"/>
            <w:vAlign w:val="center"/>
          </w:tcPr>
          <w:p w:rsidR="00D43F7C" w:rsidRPr="00A030F3" w:rsidRDefault="00D43F7C" w:rsidP="00D43F7C">
            <w:pPr>
              <w:contextualSpacing/>
              <w:jc w:val="center"/>
              <w:rPr>
                <w:b/>
                <w:sz w:val="20"/>
                <w:szCs w:val="20"/>
                <w:lang w:val="en-GB"/>
              </w:rPr>
            </w:pPr>
            <w:r w:rsidRPr="00A030F3">
              <w:rPr>
                <w:b/>
                <w:sz w:val="20"/>
                <w:szCs w:val="20"/>
                <w:lang w:val="en-GB"/>
              </w:rPr>
              <w:t>Ministry</w:t>
            </w:r>
          </w:p>
        </w:tc>
        <w:tc>
          <w:tcPr>
            <w:tcW w:w="1559" w:type="dxa"/>
            <w:vAlign w:val="center"/>
          </w:tcPr>
          <w:p w:rsidR="00D43F7C" w:rsidRPr="00A030F3" w:rsidRDefault="00D43F7C" w:rsidP="00C33C8E">
            <w:pPr>
              <w:contextualSpacing/>
              <w:jc w:val="center"/>
              <w:rPr>
                <w:b/>
                <w:sz w:val="20"/>
                <w:szCs w:val="20"/>
                <w:lang w:val="en-GB"/>
              </w:rPr>
            </w:pPr>
            <w:r w:rsidRPr="00A030F3">
              <w:rPr>
                <w:b/>
                <w:sz w:val="20"/>
                <w:szCs w:val="20"/>
                <w:lang w:val="en-GB"/>
              </w:rPr>
              <w:t>Date</w:t>
            </w:r>
          </w:p>
        </w:tc>
      </w:tr>
      <w:tr w:rsidR="00D43F7C" w:rsidRPr="00A030F3" w:rsidTr="00836C8F">
        <w:tc>
          <w:tcPr>
            <w:tcW w:w="2694" w:type="dxa"/>
          </w:tcPr>
          <w:p w:rsidR="00D43F7C" w:rsidRPr="00A030F3" w:rsidRDefault="00836C8F" w:rsidP="00836C8F">
            <w:pPr>
              <w:contextualSpacing/>
              <w:jc w:val="center"/>
              <w:rPr>
                <w:sz w:val="20"/>
                <w:szCs w:val="20"/>
                <w:lang w:val="en-GB"/>
              </w:rPr>
            </w:pPr>
            <w:bookmarkStart w:id="8" w:name="_GoBack" w:colFirst="1" w:colLast="1"/>
            <w:r>
              <w:rPr>
                <w:sz w:val="20"/>
                <w:szCs w:val="20"/>
                <w:lang w:val="en-GB"/>
              </w:rPr>
              <w:t>Ernesto Augusto Pereira, MSc</w:t>
            </w:r>
          </w:p>
        </w:tc>
        <w:tc>
          <w:tcPr>
            <w:tcW w:w="2835" w:type="dxa"/>
          </w:tcPr>
          <w:p w:rsidR="00D43F7C" w:rsidRPr="00A030F3" w:rsidRDefault="00836C8F" w:rsidP="00D43F7C">
            <w:pPr>
              <w:jc w:val="center"/>
              <w:rPr>
                <w:sz w:val="20"/>
                <w:szCs w:val="20"/>
                <w:lang w:val="en-GB"/>
              </w:rPr>
            </w:pPr>
            <w:r>
              <w:rPr>
                <w:sz w:val="20"/>
                <w:szCs w:val="20"/>
                <w:lang w:val="en-GB"/>
              </w:rPr>
              <w:t>GEF Operational Focal Point</w:t>
            </w:r>
          </w:p>
        </w:tc>
        <w:tc>
          <w:tcPr>
            <w:tcW w:w="3969" w:type="dxa"/>
          </w:tcPr>
          <w:p w:rsidR="00D43F7C" w:rsidRPr="00A030F3" w:rsidRDefault="00836C8F" w:rsidP="00D43F7C">
            <w:pPr>
              <w:jc w:val="center"/>
              <w:rPr>
                <w:sz w:val="20"/>
                <w:szCs w:val="20"/>
                <w:lang w:val="en-GB"/>
              </w:rPr>
            </w:pPr>
            <w:r w:rsidRPr="00836C8F">
              <w:rPr>
                <w:sz w:val="20"/>
                <w:szCs w:val="20"/>
                <w:lang w:val="en-GB"/>
              </w:rPr>
              <w:t>State Secretariat for Environment and Tourism</w:t>
            </w:r>
          </w:p>
        </w:tc>
        <w:tc>
          <w:tcPr>
            <w:tcW w:w="1559" w:type="dxa"/>
          </w:tcPr>
          <w:p w:rsidR="00D43F7C" w:rsidRPr="00C33C8E" w:rsidRDefault="00C33C8E" w:rsidP="00C33C8E">
            <w:pPr>
              <w:jc w:val="center"/>
              <w:rPr>
                <w:sz w:val="20"/>
                <w:szCs w:val="20"/>
                <w:highlight w:val="yellow"/>
                <w:lang w:val="en-GB"/>
              </w:rPr>
            </w:pPr>
            <w:r w:rsidRPr="00C33C8E">
              <w:rPr>
                <w:sz w:val="20"/>
                <w:szCs w:val="20"/>
                <w:lang w:val="en-GB"/>
              </w:rPr>
              <w:t>02 April 2013</w:t>
            </w:r>
          </w:p>
        </w:tc>
      </w:tr>
      <w:bookmarkEnd w:id="8"/>
    </w:tbl>
    <w:p w:rsidR="00D43F7C" w:rsidRPr="00A030F3" w:rsidRDefault="00D43F7C" w:rsidP="00D43F7C">
      <w:pPr>
        <w:ind w:left="0"/>
        <w:rPr>
          <w:lang w:val="en-GB"/>
        </w:rPr>
      </w:pPr>
    </w:p>
    <w:p w:rsidR="00D43F7C" w:rsidRDefault="00D43F7C" w:rsidP="00D43F7C">
      <w:pPr>
        <w:ind w:left="0"/>
        <w:contextualSpacing/>
        <w:rPr>
          <w:b/>
          <w:smallCaps/>
          <w:sz w:val="22"/>
          <w:szCs w:val="22"/>
          <w:lang w:val="en-GB"/>
        </w:rPr>
      </w:pPr>
      <w:r w:rsidRPr="00A030F3">
        <w:rPr>
          <w:b/>
          <w:smallCaps/>
          <w:sz w:val="22"/>
          <w:szCs w:val="22"/>
          <w:lang w:val="en-GB"/>
        </w:rPr>
        <w:t>B.  GEF Agency Certification</w:t>
      </w:r>
    </w:p>
    <w:p w:rsidR="00A82E10" w:rsidRPr="00A030F3" w:rsidRDefault="00A82E10" w:rsidP="00D43F7C">
      <w:pPr>
        <w:ind w:left="0"/>
        <w:contextualSpacing/>
        <w:rPr>
          <w:b/>
          <w:smallCaps/>
          <w:sz w:val="22"/>
          <w:szCs w:val="22"/>
          <w:lang w:val="en-GB"/>
        </w:rPr>
      </w:pPr>
    </w:p>
    <w:tbl>
      <w:tblPr>
        <w:tblW w:w="11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260"/>
        <w:gridCol w:w="1440"/>
        <w:gridCol w:w="1906"/>
        <w:gridCol w:w="1843"/>
        <w:gridCol w:w="2241"/>
      </w:tblGrid>
      <w:tr w:rsidR="00D43F7C" w:rsidRPr="00A030F3" w:rsidTr="007001E6">
        <w:trPr>
          <w:cantSplit/>
          <w:trHeight w:val="377"/>
        </w:trPr>
        <w:tc>
          <w:tcPr>
            <w:tcW w:w="11030" w:type="dxa"/>
            <w:gridSpan w:val="6"/>
            <w:vAlign w:val="center"/>
          </w:tcPr>
          <w:p w:rsidR="00D43F7C" w:rsidRPr="00A030F3" w:rsidRDefault="00D43F7C" w:rsidP="00D43F7C">
            <w:pPr>
              <w:ind w:left="0"/>
              <w:contextualSpacing/>
              <w:jc w:val="center"/>
              <w:rPr>
                <w:sz w:val="20"/>
                <w:szCs w:val="20"/>
                <w:lang w:val="en-GB"/>
              </w:rPr>
            </w:pPr>
            <w:r w:rsidRPr="00A030F3">
              <w:rPr>
                <w:sz w:val="20"/>
                <w:szCs w:val="20"/>
                <w:lang w:val="en-GB"/>
              </w:rPr>
              <w:t>This request has been prepared in accordance with GEF/LDCF/SCCF/NPIF policies and procedures and meets the GEF/LDCF/SCCF/NPIF criteria for project identification and preparation.</w:t>
            </w:r>
          </w:p>
        </w:tc>
      </w:tr>
      <w:tr w:rsidR="001E2420" w:rsidRPr="00A030F3" w:rsidTr="001E2420">
        <w:tblPrEx>
          <w:tblLook w:val="01E0" w:firstRow="1" w:lastRow="1" w:firstColumn="1" w:lastColumn="1" w:noHBand="0" w:noVBand="0"/>
        </w:tblPrEx>
        <w:tc>
          <w:tcPr>
            <w:tcW w:w="2340" w:type="dxa"/>
          </w:tcPr>
          <w:p w:rsidR="001E2420" w:rsidRPr="00C91EC8" w:rsidRDefault="001E2420" w:rsidP="00C9120D">
            <w:pPr>
              <w:ind w:left="0"/>
              <w:contextualSpacing/>
              <w:jc w:val="center"/>
              <w:rPr>
                <w:b/>
                <w:bCs/>
                <w:sz w:val="20"/>
                <w:szCs w:val="20"/>
              </w:rPr>
            </w:pPr>
            <w:r w:rsidRPr="00C9120D">
              <w:rPr>
                <w:b/>
                <w:sz w:val="20"/>
                <w:szCs w:val="20"/>
                <w:lang w:val="en-GB"/>
              </w:rPr>
              <w:t>Agency</w:t>
            </w:r>
            <w:r w:rsidRPr="00C91EC8">
              <w:rPr>
                <w:b/>
                <w:bCs/>
                <w:sz w:val="20"/>
                <w:szCs w:val="20"/>
              </w:rPr>
              <w:t xml:space="preserve"> Coordinator </w:t>
            </w:r>
          </w:p>
        </w:tc>
        <w:tc>
          <w:tcPr>
            <w:tcW w:w="1260" w:type="dxa"/>
          </w:tcPr>
          <w:p w:rsidR="001E2420" w:rsidRPr="00C91EC8" w:rsidRDefault="001E2420" w:rsidP="00C9120D">
            <w:pPr>
              <w:ind w:left="0"/>
              <w:contextualSpacing/>
              <w:jc w:val="center"/>
              <w:rPr>
                <w:b/>
                <w:bCs/>
                <w:sz w:val="20"/>
                <w:szCs w:val="20"/>
              </w:rPr>
            </w:pPr>
            <w:r w:rsidRPr="00C9120D">
              <w:rPr>
                <w:b/>
                <w:sz w:val="20"/>
                <w:szCs w:val="20"/>
                <w:lang w:val="en-GB"/>
              </w:rPr>
              <w:t>Signature</w:t>
            </w:r>
          </w:p>
        </w:tc>
        <w:tc>
          <w:tcPr>
            <w:tcW w:w="1440" w:type="dxa"/>
          </w:tcPr>
          <w:p w:rsidR="001E2420" w:rsidRPr="00C9120D" w:rsidRDefault="001E2420" w:rsidP="00C9120D">
            <w:pPr>
              <w:ind w:left="0"/>
              <w:contextualSpacing/>
              <w:jc w:val="center"/>
              <w:rPr>
                <w:b/>
                <w:sz w:val="20"/>
                <w:szCs w:val="20"/>
                <w:lang w:val="en-GB"/>
              </w:rPr>
            </w:pPr>
            <w:r w:rsidRPr="00C9120D">
              <w:rPr>
                <w:b/>
                <w:sz w:val="20"/>
                <w:szCs w:val="20"/>
                <w:lang w:val="en-GB"/>
              </w:rPr>
              <w:t>Date</w:t>
            </w:r>
          </w:p>
        </w:tc>
        <w:tc>
          <w:tcPr>
            <w:tcW w:w="1906" w:type="dxa"/>
            <w:vAlign w:val="center"/>
          </w:tcPr>
          <w:p w:rsidR="001E2420" w:rsidRPr="00A030F3" w:rsidRDefault="001E2420" w:rsidP="00D43F7C">
            <w:pPr>
              <w:ind w:left="0"/>
              <w:contextualSpacing/>
              <w:jc w:val="center"/>
              <w:rPr>
                <w:b/>
                <w:sz w:val="20"/>
                <w:szCs w:val="20"/>
                <w:lang w:val="en-GB"/>
              </w:rPr>
            </w:pPr>
            <w:r w:rsidRPr="00A030F3">
              <w:rPr>
                <w:b/>
                <w:sz w:val="20"/>
                <w:szCs w:val="20"/>
                <w:lang w:val="en-GB"/>
              </w:rPr>
              <w:t>Project Contact Person</w:t>
            </w:r>
          </w:p>
        </w:tc>
        <w:tc>
          <w:tcPr>
            <w:tcW w:w="1843" w:type="dxa"/>
            <w:vAlign w:val="center"/>
          </w:tcPr>
          <w:p w:rsidR="001E2420" w:rsidRPr="00A030F3" w:rsidRDefault="001E2420" w:rsidP="00D43F7C">
            <w:pPr>
              <w:ind w:left="0"/>
              <w:contextualSpacing/>
              <w:jc w:val="center"/>
              <w:rPr>
                <w:b/>
                <w:sz w:val="20"/>
                <w:szCs w:val="20"/>
                <w:lang w:val="en-GB"/>
              </w:rPr>
            </w:pPr>
            <w:r w:rsidRPr="00A030F3">
              <w:rPr>
                <w:b/>
                <w:sz w:val="20"/>
                <w:szCs w:val="20"/>
                <w:lang w:val="en-GB"/>
              </w:rPr>
              <w:t>Telephone</w:t>
            </w:r>
          </w:p>
        </w:tc>
        <w:tc>
          <w:tcPr>
            <w:tcW w:w="2241" w:type="dxa"/>
            <w:vAlign w:val="center"/>
          </w:tcPr>
          <w:p w:rsidR="001E2420" w:rsidRPr="00A030F3" w:rsidRDefault="001E2420" w:rsidP="00D43F7C">
            <w:pPr>
              <w:ind w:left="0"/>
              <w:contextualSpacing/>
              <w:jc w:val="center"/>
              <w:rPr>
                <w:b/>
                <w:sz w:val="20"/>
                <w:szCs w:val="20"/>
                <w:lang w:val="en-GB"/>
              </w:rPr>
            </w:pPr>
            <w:r w:rsidRPr="00A030F3">
              <w:rPr>
                <w:b/>
                <w:sz w:val="20"/>
                <w:szCs w:val="20"/>
                <w:lang w:val="en-GB"/>
              </w:rPr>
              <w:t>Email Address</w:t>
            </w:r>
          </w:p>
        </w:tc>
      </w:tr>
      <w:tr w:rsidR="001E2420" w:rsidRPr="00A030F3" w:rsidTr="001E2420">
        <w:tblPrEx>
          <w:tblLook w:val="01E0" w:firstRow="1" w:lastRow="1" w:firstColumn="1" w:lastColumn="1" w:noHBand="0" w:noVBand="0"/>
        </w:tblPrEx>
        <w:tc>
          <w:tcPr>
            <w:tcW w:w="2340" w:type="dxa"/>
          </w:tcPr>
          <w:p w:rsidR="001E2420" w:rsidRPr="00C91EC8" w:rsidRDefault="001E2420" w:rsidP="001E2420">
            <w:pPr>
              <w:ind w:left="-57" w:right="-57"/>
              <w:contextualSpacing/>
              <w:jc w:val="center"/>
              <w:rPr>
                <w:sz w:val="20"/>
                <w:szCs w:val="20"/>
              </w:rPr>
            </w:pPr>
            <w:r w:rsidRPr="001E2420">
              <w:rPr>
                <w:sz w:val="20"/>
                <w:szCs w:val="20"/>
                <w:lang w:val="en-GB"/>
              </w:rPr>
              <w:t>Adrian</w:t>
            </w:r>
            <w:r w:rsidR="00C9120D">
              <w:rPr>
                <w:sz w:val="20"/>
                <w:szCs w:val="20"/>
                <w:lang w:val="en-GB"/>
              </w:rPr>
              <w:t>a</w:t>
            </w:r>
            <w:r w:rsidRPr="001E2420">
              <w:rPr>
                <w:sz w:val="20"/>
                <w:szCs w:val="20"/>
                <w:lang w:val="en-GB"/>
              </w:rPr>
              <w:t xml:space="preserve"> Dinu, UNDP-GEF Officer-in-Charge and Deputy Executive Coordinator</w:t>
            </w:r>
          </w:p>
        </w:tc>
        <w:tc>
          <w:tcPr>
            <w:tcW w:w="1260" w:type="dxa"/>
          </w:tcPr>
          <w:p w:rsidR="001E2420" w:rsidRPr="00C91EC8" w:rsidRDefault="000448EF" w:rsidP="005003B3">
            <w:pPr>
              <w:jc w:val="center"/>
              <w:rPr>
                <w:sz w:val="20"/>
                <w:szCs w:val="20"/>
              </w:rPr>
            </w:pPr>
            <w:r>
              <w:rPr>
                <w:noProof/>
                <w:sz w:val="16"/>
                <w:szCs w:val="16"/>
                <w:lang w:val="fr-FR" w:eastAsia="fr-FR"/>
              </w:rPr>
              <w:drawing>
                <wp:anchor distT="0" distB="0" distL="114300" distR="114300" simplePos="0" relativeHeight="251660288" behindDoc="0" locked="0" layoutInCell="1" allowOverlap="1">
                  <wp:simplePos x="0" y="0"/>
                  <wp:positionH relativeFrom="column">
                    <wp:posOffset>-69215</wp:posOffset>
                  </wp:positionH>
                  <wp:positionV relativeFrom="paragraph">
                    <wp:posOffset>50800</wp:posOffset>
                  </wp:positionV>
                  <wp:extent cx="710565" cy="313690"/>
                  <wp:effectExtent l="0" t="0" r="0" b="0"/>
                  <wp:wrapNone/>
                  <wp:docPr id="3" name="Picture 0" descr="Adriana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driana_signatur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0565" cy="313690"/>
                          </a:xfrm>
                          <a:prstGeom prst="rect">
                            <a:avLst/>
                          </a:prstGeom>
                          <a:noFill/>
                        </pic:spPr>
                      </pic:pic>
                    </a:graphicData>
                  </a:graphic>
                </wp:anchor>
              </w:drawing>
            </w:r>
          </w:p>
        </w:tc>
        <w:tc>
          <w:tcPr>
            <w:tcW w:w="1440" w:type="dxa"/>
          </w:tcPr>
          <w:p w:rsidR="001E2420" w:rsidRPr="00C91EC8" w:rsidRDefault="001E2420" w:rsidP="00971ED4">
            <w:pPr>
              <w:ind w:left="-57" w:right="-57"/>
              <w:contextualSpacing/>
              <w:jc w:val="center"/>
              <w:rPr>
                <w:sz w:val="20"/>
                <w:szCs w:val="20"/>
              </w:rPr>
            </w:pPr>
            <w:r w:rsidRPr="001E2420">
              <w:rPr>
                <w:sz w:val="20"/>
                <w:szCs w:val="20"/>
                <w:lang w:val="en-GB"/>
              </w:rPr>
              <w:t xml:space="preserve">April </w:t>
            </w:r>
            <w:r w:rsidR="00971ED4">
              <w:rPr>
                <w:sz w:val="20"/>
                <w:szCs w:val="20"/>
                <w:lang w:val="en-GB"/>
              </w:rPr>
              <w:t>12</w:t>
            </w:r>
            <w:r w:rsidRPr="001E2420">
              <w:rPr>
                <w:sz w:val="20"/>
                <w:szCs w:val="20"/>
                <w:lang w:val="en-GB"/>
              </w:rPr>
              <w:t>, 2013</w:t>
            </w:r>
          </w:p>
        </w:tc>
        <w:tc>
          <w:tcPr>
            <w:tcW w:w="1906" w:type="dxa"/>
            <w:vAlign w:val="center"/>
          </w:tcPr>
          <w:p w:rsidR="001E2420" w:rsidRPr="00A030F3" w:rsidRDefault="001E2420" w:rsidP="00A82E10">
            <w:pPr>
              <w:ind w:left="-57" w:right="-57"/>
              <w:contextualSpacing/>
              <w:jc w:val="center"/>
              <w:rPr>
                <w:sz w:val="20"/>
                <w:szCs w:val="20"/>
                <w:lang w:val="en-GB"/>
              </w:rPr>
            </w:pPr>
            <w:r w:rsidRPr="00A030F3">
              <w:rPr>
                <w:sz w:val="20"/>
                <w:szCs w:val="20"/>
                <w:lang w:val="en-GB"/>
              </w:rPr>
              <w:t xml:space="preserve">Yves de Soye, </w:t>
            </w:r>
          </w:p>
          <w:p w:rsidR="001E2420" w:rsidRPr="00A030F3" w:rsidRDefault="001E2420" w:rsidP="00A82E10">
            <w:pPr>
              <w:ind w:left="-57" w:right="-57"/>
              <w:contextualSpacing/>
              <w:jc w:val="center"/>
              <w:rPr>
                <w:sz w:val="20"/>
                <w:szCs w:val="20"/>
                <w:lang w:val="en-GB"/>
              </w:rPr>
            </w:pPr>
            <w:r w:rsidRPr="00A030F3">
              <w:rPr>
                <w:sz w:val="20"/>
                <w:szCs w:val="20"/>
                <w:lang w:val="en-GB"/>
              </w:rPr>
              <w:t>Regional Technical Advisor, Ecosystems &amp; Biodiversity</w:t>
            </w:r>
          </w:p>
        </w:tc>
        <w:tc>
          <w:tcPr>
            <w:tcW w:w="1843" w:type="dxa"/>
            <w:vAlign w:val="center"/>
          </w:tcPr>
          <w:p w:rsidR="001E2420" w:rsidRPr="00A030F3" w:rsidRDefault="001E2420" w:rsidP="00D43F7C">
            <w:pPr>
              <w:ind w:left="0"/>
              <w:contextualSpacing/>
              <w:jc w:val="center"/>
              <w:rPr>
                <w:sz w:val="20"/>
                <w:szCs w:val="20"/>
                <w:lang w:val="en-GB"/>
              </w:rPr>
            </w:pPr>
            <w:r w:rsidRPr="00A030F3">
              <w:rPr>
                <w:sz w:val="20"/>
                <w:szCs w:val="20"/>
                <w:lang w:val="en-GB"/>
              </w:rPr>
              <w:t xml:space="preserve">+421 2 59337 332; </w:t>
            </w:r>
          </w:p>
          <w:p w:rsidR="001E2420" w:rsidRPr="00A030F3" w:rsidRDefault="001E2420" w:rsidP="00D43F7C">
            <w:pPr>
              <w:ind w:left="0"/>
              <w:contextualSpacing/>
              <w:jc w:val="center"/>
              <w:rPr>
                <w:sz w:val="20"/>
                <w:szCs w:val="20"/>
                <w:lang w:val="en-GB"/>
              </w:rPr>
            </w:pPr>
            <w:r w:rsidRPr="00A030F3">
              <w:rPr>
                <w:sz w:val="20"/>
                <w:szCs w:val="20"/>
                <w:lang w:val="en-GB"/>
              </w:rPr>
              <w:t>+421 911 360 250</w:t>
            </w:r>
          </w:p>
        </w:tc>
        <w:tc>
          <w:tcPr>
            <w:tcW w:w="2241" w:type="dxa"/>
            <w:vAlign w:val="center"/>
          </w:tcPr>
          <w:p w:rsidR="001E2420" w:rsidRPr="00A030F3" w:rsidRDefault="00A46689" w:rsidP="00D43F7C">
            <w:pPr>
              <w:ind w:left="0"/>
              <w:contextualSpacing/>
              <w:jc w:val="center"/>
              <w:rPr>
                <w:sz w:val="20"/>
                <w:szCs w:val="20"/>
                <w:lang w:val="en-GB"/>
              </w:rPr>
            </w:pPr>
            <w:hyperlink r:id="rId14" w:history="1">
              <w:r w:rsidR="001E2420" w:rsidRPr="00A030F3">
                <w:rPr>
                  <w:color w:val="0000FF"/>
                  <w:sz w:val="20"/>
                  <w:szCs w:val="20"/>
                  <w:u w:val="single"/>
                  <w:lang w:val="en-GB"/>
                </w:rPr>
                <w:t>yves.desoye@undp.org</w:t>
              </w:r>
            </w:hyperlink>
          </w:p>
          <w:p w:rsidR="001E2420" w:rsidRPr="00A030F3" w:rsidRDefault="001E2420" w:rsidP="00D43F7C">
            <w:pPr>
              <w:ind w:left="0"/>
              <w:contextualSpacing/>
              <w:jc w:val="center"/>
              <w:rPr>
                <w:sz w:val="20"/>
                <w:szCs w:val="20"/>
                <w:lang w:val="en-GB"/>
              </w:rPr>
            </w:pPr>
          </w:p>
        </w:tc>
      </w:tr>
    </w:tbl>
    <w:p w:rsidR="003263CF" w:rsidRDefault="003263CF" w:rsidP="003263CF">
      <w:pPr>
        <w:pStyle w:val="Footer"/>
        <w:tabs>
          <w:tab w:val="left" w:pos="0"/>
          <w:tab w:val="left" w:pos="227"/>
          <w:tab w:val="left" w:pos="340"/>
          <w:tab w:val="left" w:pos="397"/>
          <w:tab w:val="left" w:pos="720"/>
        </w:tabs>
        <w:ind w:left="0"/>
        <w:contextualSpacing/>
        <w:jc w:val="both"/>
        <w:rPr>
          <w:b/>
          <w:smallCaps/>
          <w:szCs w:val="22"/>
          <w:lang w:val="en-GB"/>
        </w:rPr>
      </w:pPr>
    </w:p>
    <w:p w:rsidR="00E503D2" w:rsidRDefault="00E503D2" w:rsidP="003C74B3">
      <w:pPr>
        <w:ind w:left="0"/>
        <w:contextualSpacing/>
        <w:rPr>
          <w:b/>
          <w:caps/>
          <w:color w:val="00B0F0"/>
          <w:sz w:val="22"/>
          <w:szCs w:val="22"/>
          <w:u w:val="single"/>
          <w:lang w:val="en-GB"/>
        </w:rPr>
      </w:pPr>
    </w:p>
    <w:p w:rsidR="00E503D2" w:rsidRDefault="00E503D2">
      <w:pPr>
        <w:rPr>
          <w:b/>
          <w:caps/>
          <w:color w:val="00B0F0"/>
          <w:sz w:val="22"/>
          <w:szCs w:val="22"/>
          <w:u w:val="single"/>
          <w:lang w:val="en-GB"/>
        </w:rPr>
      </w:pPr>
      <w:r>
        <w:rPr>
          <w:b/>
          <w:caps/>
          <w:color w:val="00B0F0"/>
          <w:sz w:val="22"/>
          <w:szCs w:val="22"/>
          <w:u w:val="single"/>
          <w:lang w:val="en-GB"/>
        </w:rPr>
        <w:br w:type="page"/>
      </w:r>
    </w:p>
    <w:p w:rsidR="003C74B3" w:rsidRDefault="003C74B3" w:rsidP="003C74B3">
      <w:pPr>
        <w:ind w:left="0"/>
        <w:contextualSpacing/>
        <w:rPr>
          <w:b/>
          <w:smallCaps/>
          <w:sz w:val="22"/>
          <w:szCs w:val="22"/>
          <w:lang w:val="en-GB"/>
        </w:rPr>
      </w:pPr>
      <w:r w:rsidRPr="00A030F3">
        <w:rPr>
          <w:b/>
          <w:caps/>
          <w:color w:val="00B0F0"/>
          <w:sz w:val="22"/>
          <w:szCs w:val="22"/>
          <w:u w:val="single"/>
          <w:lang w:val="en-GB"/>
        </w:rPr>
        <w:lastRenderedPageBreak/>
        <w:t>ANNEX 1.  MAP OF THE NATIONAL PROTECTED AREA SYSTEM OF GUINEA-BISSAU</w:t>
      </w:r>
    </w:p>
    <w:p w:rsidR="003C74B3" w:rsidRDefault="003C74B3" w:rsidP="003C74B3">
      <w:pPr>
        <w:ind w:left="0"/>
        <w:contextualSpacing/>
        <w:rPr>
          <w:b/>
          <w:smallCaps/>
          <w:sz w:val="22"/>
          <w:szCs w:val="22"/>
          <w:lang w:val="en-GB"/>
        </w:rPr>
      </w:pPr>
    </w:p>
    <w:p w:rsidR="003C74B3" w:rsidRDefault="003C74B3" w:rsidP="003C74B3">
      <w:pPr>
        <w:ind w:left="0"/>
        <w:contextualSpacing/>
        <w:rPr>
          <w:b/>
          <w:smallCaps/>
          <w:sz w:val="22"/>
          <w:szCs w:val="22"/>
          <w:lang w:val="en-GB"/>
        </w:rPr>
      </w:pPr>
    </w:p>
    <w:p w:rsidR="00FB6F8C" w:rsidRDefault="00FB6F8C" w:rsidP="003263CF">
      <w:pPr>
        <w:pStyle w:val="Footer"/>
        <w:tabs>
          <w:tab w:val="left" w:pos="0"/>
          <w:tab w:val="left" w:pos="227"/>
          <w:tab w:val="left" w:pos="340"/>
          <w:tab w:val="left" w:pos="397"/>
          <w:tab w:val="left" w:pos="720"/>
        </w:tabs>
        <w:ind w:left="0"/>
        <w:contextualSpacing/>
        <w:jc w:val="both"/>
        <w:rPr>
          <w:b/>
          <w:caps/>
          <w:color w:val="00B0F0"/>
          <w:sz w:val="22"/>
          <w:szCs w:val="22"/>
          <w:u w:val="single"/>
          <w:lang w:val="en-GB"/>
        </w:rPr>
      </w:pPr>
      <w:r w:rsidRPr="004202DC">
        <w:rPr>
          <w:b/>
          <w:caps/>
          <w:noProof/>
          <w:color w:val="00B0F0"/>
          <w:sz w:val="22"/>
          <w:szCs w:val="22"/>
          <w:lang w:val="fr-FR" w:eastAsia="fr-FR"/>
        </w:rPr>
        <w:drawing>
          <wp:inline distT="0" distB="0" distL="0" distR="0">
            <wp:extent cx="6596435" cy="4373980"/>
            <wp:effectExtent l="19050" t="0" r="0" b="0"/>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594104" cy="4372435"/>
                    </a:xfrm>
                    <a:prstGeom prst="rect">
                      <a:avLst/>
                    </a:prstGeom>
                    <a:noFill/>
                    <a:ln w="9525">
                      <a:noFill/>
                      <a:miter lim="800000"/>
                      <a:headEnd/>
                      <a:tailEnd/>
                    </a:ln>
                  </pic:spPr>
                </pic:pic>
              </a:graphicData>
            </a:graphic>
          </wp:inline>
        </w:drawing>
      </w:r>
    </w:p>
    <w:p w:rsidR="00E93750" w:rsidRDefault="00E93750" w:rsidP="003263CF">
      <w:pPr>
        <w:pStyle w:val="Footer"/>
        <w:tabs>
          <w:tab w:val="left" w:pos="0"/>
          <w:tab w:val="left" w:pos="227"/>
          <w:tab w:val="left" w:pos="340"/>
          <w:tab w:val="left" w:pos="397"/>
          <w:tab w:val="left" w:pos="720"/>
        </w:tabs>
        <w:ind w:left="0"/>
        <w:contextualSpacing/>
        <w:jc w:val="both"/>
        <w:rPr>
          <w:b/>
          <w:caps/>
          <w:color w:val="00B0F0"/>
          <w:sz w:val="22"/>
          <w:szCs w:val="22"/>
          <w:u w:val="single"/>
          <w:lang w:val="en-GB"/>
        </w:rPr>
      </w:pPr>
    </w:p>
    <w:p w:rsidR="00E93750" w:rsidRDefault="00E93750" w:rsidP="003263CF">
      <w:pPr>
        <w:pStyle w:val="Footer"/>
        <w:tabs>
          <w:tab w:val="left" w:pos="0"/>
          <w:tab w:val="left" w:pos="227"/>
          <w:tab w:val="left" w:pos="340"/>
          <w:tab w:val="left" w:pos="397"/>
          <w:tab w:val="left" w:pos="720"/>
        </w:tabs>
        <w:ind w:left="0"/>
        <w:contextualSpacing/>
        <w:jc w:val="both"/>
        <w:rPr>
          <w:b/>
          <w:caps/>
          <w:color w:val="00B0F0"/>
          <w:sz w:val="22"/>
          <w:szCs w:val="22"/>
          <w:u w:val="single"/>
          <w:lang w:val="en-GB"/>
        </w:rPr>
      </w:pPr>
    </w:p>
    <w:p w:rsidR="00E93750" w:rsidRDefault="00E93750" w:rsidP="003263CF">
      <w:pPr>
        <w:pStyle w:val="Footer"/>
        <w:tabs>
          <w:tab w:val="left" w:pos="0"/>
          <w:tab w:val="left" w:pos="227"/>
          <w:tab w:val="left" w:pos="340"/>
          <w:tab w:val="left" w:pos="397"/>
          <w:tab w:val="left" w:pos="720"/>
        </w:tabs>
        <w:ind w:left="0"/>
        <w:contextualSpacing/>
        <w:jc w:val="both"/>
        <w:rPr>
          <w:b/>
          <w:caps/>
          <w:color w:val="00B0F0"/>
          <w:sz w:val="22"/>
          <w:szCs w:val="22"/>
          <w:u w:val="single"/>
          <w:lang w:val="en-GB"/>
        </w:rPr>
      </w:pPr>
    </w:p>
    <w:p w:rsidR="00E93750" w:rsidRDefault="00E93750" w:rsidP="003263CF">
      <w:pPr>
        <w:pStyle w:val="Footer"/>
        <w:tabs>
          <w:tab w:val="left" w:pos="0"/>
          <w:tab w:val="left" w:pos="227"/>
          <w:tab w:val="left" w:pos="340"/>
          <w:tab w:val="left" w:pos="397"/>
          <w:tab w:val="left" w:pos="720"/>
        </w:tabs>
        <w:ind w:left="0"/>
        <w:contextualSpacing/>
        <w:jc w:val="both"/>
        <w:rPr>
          <w:b/>
          <w:caps/>
          <w:color w:val="00B0F0"/>
          <w:sz w:val="22"/>
          <w:szCs w:val="22"/>
          <w:u w:val="single"/>
          <w:lang w:val="en-GB"/>
        </w:rPr>
      </w:pPr>
    </w:p>
    <w:sectPr w:rsidR="00E93750" w:rsidSect="003C74B3">
      <w:footerReference w:type="even" r:id="rId16"/>
      <w:footerReference w:type="default" r:id="rId17"/>
      <w:pgSz w:w="12240" w:h="15840" w:code="1"/>
      <w:pgMar w:top="1134" w:right="567" w:bottom="1134" w:left="567" w:header="72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689" w:rsidRDefault="00A46689">
      <w:r>
        <w:separator/>
      </w:r>
    </w:p>
  </w:endnote>
  <w:endnote w:type="continuationSeparator" w:id="0">
    <w:p w:rsidR="00A46689" w:rsidRDefault="00A4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E97" w:rsidRDefault="008478AA" w:rsidP="0099128C">
    <w:pPr>
      <w:pStyle w:val="Footer"/>
      <w:framePr w:wrap="around" w:vAnchor="text" w:hAnchor="margin" w:xAlign="right" w:y="1"/>
      <w:rPr>
        <w:rStyle w:val="PageNumber"/>
      </w:rPr>
    </w:pPr>
    <w:r>
      <w:rPr>
        <w:rStyle w:val="PageNumber"/>
      </w:rPr>
      <w:fldChar w:fldCharType="begin"/>
    </w:r>
    <w:r w:rsidR="00917E97">
      <w:rPr>
        <w:rStyle w:val="PageNumber"/>
      </w:rPr>
      <w:instrText xml:space="preserve">PAGE  </w:instrText>
    </w:r>
    <w:r>
      <w:rPr>
        <w:rStyle w:val="PageNumber"/>
      </w:rPr>
      <w:fldChar w:fldCharType="end"/>
    </w:r>
  </w:p>
  <w:p w:rsidR="00917E97" w:rsidRDefault="00917E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8568965"/>
      <w:docPartObj>
        <w:docPartGallery w:val="Page Numbers (Bottom of Page)"/>
        <w:docPartUnique/>
      </w:docPartObj>
    </w:sdtPr>
    <w:sdtEndPr/>
    <w:sdtContent>
      <w:p w:rsidR="00917E97" w:rsidRDefault="008478AA">
        <w:pPr>
          <w:pStyle w:val="Footer"/>
          <w:jc w:val="center"/>
          <w:rPr>
            <w:sz w:val="22"/>
            <w:szCs w:val="22"/>
          </w:rPr>
        </w:pPr>
        <w:r w:rsidRPr="00E93750">
          <w:rPr>
            <w:sz w:val="22"/>
            <w:szCs w:val="22"/>
          </w:rPr>
          <w:fldChar w:fldCharType="begin"/>
        </w:r>
        <w:r w:rsidR="00917E97" w:rsidRPr="00E93750">
          <w:rPr>
            <w:sz w:val="22"/>
            <w:szCs w:val="22"/>
          </w:rPr>
          <w:instrText xml:space="preserve"> PAGE   \* MERGEFORMAT </w:instrText>
        </w:r>
        <w:r w:rsidRPr="00E93750">
          <w:rPr>
            <w:sz w:val="22"/>
            <w:szCs w:val="22"/>
          </w:rPr>
          <w:fldChar w:fldCharType="separate"/>
        </w:r>
        <w:r w:rsidR="006F0F22">
          <w:rPr>
            <w:noProof/>
            <w:sz w:val="22"/>
            <w:szCs w:val="22"/>
          </w:rPr>
          <w:t>18</w:t>
        </w:r>
        <w:r w:rsidRPr="00E93750">
          <w:rPr>
            <w:sz w:val="22"/>
            <w:szCs w:val="22"/>
          </w:rPr>
          <w:fldChar w:fldCharType="end"/>
        </w:r>
      </w:p>
      <w:p w:rsidR="00917E97" w:rsidRPr="00E93750" w:rsidRDefault="00A46689">
        <w:pPr>
          <w:pStyle w:val="Footer"/>
          <w:jc w:val="center"/>
          <w:rPr>
            <w:sz w:val="22"/>
            <w:szCs w:val="22"/>
          </w:rPr>
        </w:pPr>
      </w:p>
    </w:sdtContent>
  </w:sdt>
  <w:p w:rsidR="00917E97" w:rsidRPr="00E93750" w:rsidRDefault="00917E97">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689" w:rsidRDefault="00A46689">
      <w:r>
        <w:separator/>
      </w:r>
    </w:p>
  </w:footnote>
  <w:footnote w:type="continuationSeparator" w:id="0">
    <w:p w:rsidR="00A46689" w:rsidRDefault="00A46689">
      <w:r>
        <w:continuationSeparator/>
      </w:r>
    </w:p>
  </w:footnote>
  <w:footnote w:id="1">
    <w:p w:rsidR="00917E97" w:rsidRPr="003E465C" w:rsidRDefault="00917E97" w:rsidP="003B3386">
      <w:pPr>
        <w:pStyle w:val="FootnoteText"/>
        <w:ind w:left="284" w:hanging="284"/>
        <w:rPr>
          <w:sz w:val="16"/>
          <w:szCs w:val="16"/>
          <w:lang w:val="en-GB"/>
        </w:rPr>
      </w:pPr>
      <w:r w:rsidRPr="003E465C">
        <w:rPr>
          <w:rStyle w:val="FootnoteReference"/>
          <w:sz w:val="16"/>
          <w:szCs w:val="16"/>
          <w:lang w:val="en-GB"/>
        </w:rPr>
        <w:footnoteRef/>
      </w:r>
      <w:r w:rsidRPr="003E465C">
        <w:rPr>
          <w:sz w:val="16"/>
          <w:szCs w:val="16"/>
          <w:lang w:val="en-GB"/>
        </w:rPr>
        <w:t xml:space="preserve">  </w:t>
      </w:r>
      <w:r w:rsidRPr="003E465C">
        <w:rPr>
          <w:sz w:val="16"/>
          <w:szCs w:val="16"/>
          <w:lang w:val="en-GB"/>
        </w:rPr>
        <w:tab/>
        <w:t>In early 2012, charity status was secured for the FBG in the United Kingdom and a protocol was formalized with the Guinea-Bissau Government, recognizing its legal statute and granting the foundation tax exempt status within the country.</w:t>
      </w:r>
    </w:p>
  </w:footnote>
  <w:footnote w:id="2">
    <w:p w:rsidR="00917E97" w:rsidRPr="00DE005E" w:rsidRDefault="00917E97" w:rsidP="003B3386">
      <w:pPr>
        <w:pStyle w:val="FootnoteText"/>
        <w:spacing w:after="120"/>
        <w:ind w:left="284" w:hanging="284"/>
        <w:rPr>
          <w:sz w:val="16"/>
          <w:szCs w:val="16"/>
          <w:lang w:val="en-GB"/>
        </w:rPr>
      </w:pPr>
      <w:r w:rsidRPr="003E465C">
        <w:rPr>
          <w:rStyle w:val="FootnoteReference"/>
          <w:sz w:val="16"/>
          <w:szCs w:val="16"/>
          <w:lang w:val="en-GB"/>
        </w:rPr>
        <w:footnoteRef/>
      </w:r>
      <w:r w:rsidRPr="00DE005E">
        <w:rPr>
          <w:sz w:val="16"/>
          <w:szCs w:val="16"/>
          <w:lang w:val="en-GB"/>
        </w:rPr>
        <w:t xml:space="preserve">   </w:t>
      </w:r>
      <w:r w:rsidRPr="00DE005E">
        <w:rPr>
          <w:sz w:val="16"/>
          <w:szCs w:val="16"/>
          <w:lang w:val="en-GB"/>
        </w:rPr>
        <w:tab/>
        <w:t>Established terrestrial PAs and related biological corridors in Guinea Bissau: Boé NP (95,280 ha), Cacheu NP (88,615 ha), Cantanhez NP (106,000 ha), Cufada NP (89,000 ha), Dulombi NP (98,951 ha), Cheché Corridor (36,604 ha), Cutabande-Quebo Corridor (55, 003 ha), Salifo Corridor (56,162 ha).</w:t>
      </w:r>
    </w:p>
  </w:footnote>
  <w:footnote w:id="3">
    <w:p w:rsidR="00917E97" w:rsidRPr="003E465C" w:rsidRDefault="00917E97" w:rsidP="003B3386">
      <w:pPr>
        <w:pStyle w:val="FootnoteText"/>
        <w:ind w:left="284" w:hanging="284"/>
        <w:rPr>
          <w:sz w:val="16"/>
          <w:szCs w:val="16"/>
          <w:lang w:val="en-GB"/>
        </w:rPr>
      </w:pPr>
      <w:r w:rsidRPr="003E465C">
        <w:rPr>
          <w:rStyle w:val="FootnoteReference"/>
          <w:sz w:val="16"/>
          <w:szCs w:val="16"/>
          <w:lang w:val="en-GB"/>
        </w:rPr>
        <w:footnoteRef/>
      </w:r>
      <w:r w:rsidRPr="003E465C">
        <w:rPr>
          <w:sz w:val="16"/>
          <w:szCs w:val="16"/>
          <w:lang w:val="en-GB"/>
        </w:rPr>
        <w:t xml:space="preserve">  </w:t>
      </w:r>
      <w:r w:rsidRPr="003E465C">
        <w:rPr>
          <w:sz w:val="16"/>
          <w:szCs w:val="16"/>
          <w:lang w:val="en-GB"/>
        </w:rPr>
        <w:tab/>
        <w:t>In 2007, the PA Financial Sustainability score produced for the World Bank-GEF project was 42 (21%).</w:t>
      </w:r>
    </w:p>
  </w:footnote>
  <w:footnote w:id="4">
    <w:p w:rsidR="00917E97" w:rsidRPr="003E465C" w:rsidRDefault="00917E97" w:rsidP="003B3386">
      <w:pPr>
        <w:pStyle w:val="FootnoteText"/>
        <w:ind w:left="284" w:hanging="284"/>
        <w:rPr>
          <w:sz w:val="16"/>
          <w:szCs w:val="16"/>
          <w:lang w:val="en-GB"/>
        </w:rPr>
      </w:pPr>
      <w:r w:rsidRPr="003E465C">
        <w:rPr>
          <w:rStyle w:val="FootnoteReference"/>
          <w:sz w:val="16"/>
          <w:szCs w:val="16"/>
          <w:lang w:val="en-GB"/>
        </w:rPr>
        <w:footnoteRef/>
      </w:r>
      <w:r w:rsidRPr="003E465C">
        <w:rPr>
          <w:sz w:val="16"/>
          <w:szCs w:val="16"/>
          <w:lang w:val="en-GB"/>
        </w:rPr>
        <w:t xml:space="preserve">  </w:t>
      </w:r>
      <w:r w:rsidRPr="003E465C">
        <w:rPr>
          <w:sz w:val="16"/>
          <w:szCs w:val="16"/>
          <w:lang w:val="en-GB"/>
        </w:rPr>
        <w:tab/>
        <w:t>The most recent application of the METT for Cantanhez NP was conducted in 2009, yielding a total score of 49</w:t>
      </w:r>
    </w:p>
  </w:footnote>
  <w:footnote w:id="5">
    <w:p w:rsidR="00917E97" w:rsidRPr="003E465C" w:rsidRDefault="00917E97" w:rsidP="003B3386">
      <w:pPr>
        <w:pStyle w:val="FootnoteText"/>
        <w:ind w:left="284" w:hanging="284"/>
        <w:rPr>
          <w:sz w:val="16"/>
          <w:szCs w:val="16"/>
          <w:lang w:val="it-IT"/>
        </w:rPr>
      </w:pPr>
      <w:r w:rsidRPr="003E465C">
        <w:rPr>
          <w:rStyle w:val="FootnoteReference"/>
          <w:sz w:val="16"/>
          <w:szCs w:val="16"/>
          <w:lang w:val="en-GB"/>
        </w:rPr>
        <w:footnoteRef/>
      </w:r>
      <w:r w:rsidRPr="003E465C">
        <w:rPr>
          <w:sz w:val="16"/>
          <w:szCs w:val="16"/>
          <w:lang w:val="it-IT"/>
        </w:rPr>
        <w:t xml:space="preserve">  </w:t>
      </w:r>
      <w:r w:rsidRPr="003E465C">
        <w:rPr>
          <w:sz w:val="16"/>
          <w:szCs w:val="16"/>
          <w:lang w:val="it-IT"/>
        </w:rPr>
        <w:tab/>
        <w:t>21,352 ha conservation zone, 44,712 ha buffer zone, 39,702 ha development zone</w:t>
      </w:r>
    </w:p>
  </w:footnote>
  <w:footnote w:id="6">
    <w:p w:rsidR="00917E97" w:rsidRPr="006F0F22" w:rsidRDefault="00917E97" w:rsidP="003B3386">
      <w:pPr>
        <w:pStyle w:val="FootnoteText"/>
        <w:ind w:left="284" w:hanging="284"/>
        <w:rPr>
          <w:sz w:val="16"/>
          <w:szCs w:val="16"/>
          <w:lang w:val="en-GB"/>
        </w:rPr>
      </w:pPr>
      <w:r w:rsidRPr="003E465C">
        <w:rPr>
          <w:rStyle w:val="FootnoteReference"/>
          <w:sz w:val="16"/>
          <w:szCs w:val="16"/>
          <w:lang w:val="en-GB"/>
        </w:rPr>
        <w:footnoteRef/>
      </w:r>
      <w:r w:rsidRPr="003E465C">
        <w:rPr>
          <w:sz w:val="16"/>
          <w:szCs w:val="16"/>
          <w:lang w:val="en-GB"/>
        </w:rPr>
        <w:t xml:space="preserve">  </w:t>
      </w:r>
      <w:r w:rsidRPr="003E465C">
        <w:rPr>
          <w:sz w:val="16"/>
          <w:szCs w:val="16"/>
          <w:lang w:val="en-GB"/>
        </w:rPr>
        <w:tab/>
        <w:t xml:space="preserve">An additional $30,000 will be allocated to PPG. </w:t>
      </w:r>
      <w:r w:rsidRPr="006F0F22">
        <w:rPr>
          <w:sz w:val="16"/>
          <w:szCs w:val="16"/>
          <w:lang w:val="en-GB"/>
        </w:rPr>
        <w:t>The $370,000 and the PPG resources are new resources allocated to the project by UNDP Guinea-Bissau.</w:t>
      </w:r>
    </w:p>
  </w:footnote>
  <w:footnote w:id="7">
    <w:p w:rsidR="00917E97" w:rsidRPr="006F0F22" w:rsidRDefault="00917E97" w:rsidP="000A41F3">
      <w:pPr>
        <w:pStyle w:val="FootnoteText"/>
        <w:ind w:left="284" w:hanging="284"/>
        <w:rPr>
          <w:sz w:val="16"/>
          <w:szCs w:val="16"/>
          <w:lang w:val="en-GB"/>
        </w:rPr>
      </w:pPr>
      <w:r w:rsidRPr="006F0F22">
        <w:rPr>
          <w:rStyle w:val="FootnoteReference"/>
          <w:sz w:val="16"/>
          <w:szCs w:val="16"/>
          <w:lang w:val="en-GB"/>
        </w:rPr>
        <w:footnoteRef/>
      </w:r>
      <w:r w:rsidRPr="006F0F22">
        <w:rPr>
          <w:sz w:val="16"/>
          <w:szCs w:val="16"/>
          <w:lang w:val="en-GB"/>
        </w:rPr>
        <w:t xml:space="preserve">  </w:t>
      </w:r>
      <w:r w:rsidRPr="006F0F22">
        <w:rPr>
          <w:sz w:val="16"/>
          <w:szCs w:val="16"/>
          <w:lang w:val="en-GB"/>
        </w:rPr>
        <w:tab/>
        <w:t xml:space="preserve">This remains to be confirmed but there is an agreement in principle to look favourably at a request. </w:t>
      </w:r>
    </w:p>
  </w:footnote>
  <w:footnote w:id="8">
    <w:p w:rsidR="00917E97" w:rsidRPr="006F0F22" w:rsidRDefault="00917E97" w:rsidP="000A41F3">
      <w:pPr>
        <w:pStyle w:val="FootnoteText"/>
        <w:ind w:left="284" w:hanging="284"/>
        <w:rPr>
          <w:sz w:val="16"/>
          <w:szCs w:val="16"/>
        </w:rPr>
      </w:pPr>
      <w:r w:rsidRPr="006F0F22">
        <w:rPr>
          <w:rStyle w:val="FootnoteReference"/>
          <w:sz w:val="16"/>
          <w:szCs w:val="16"/>
        </w:rPr>
        <w:footnoteRef/>
      </w:r>
      <w:r w:rsidRPr="006F0F22">
        <w:rPr>
          <w:sz w:val="16"/>
          <w:szCs w:val="16"/>
        </w:rPr>
        <w:t xml:space="preserve">  </w:t>
      </w:r>
      <w:r w:rsidRPr="006F0F22">
        <w:rPr>
          <w:sz w:val="16"/>
          <w:szCs w:val="16"/>
        </w:rPr>
        <w:tab/>
      </w:r>
      <w:r w:rsidRPr="006F0F22">
        <w:rPr>
          <w:sz w:val="16"/>
          <w:szCs w:val="16"/>
          <w:lang w:val="en-GB"/>
        </w:rPr>
        <w:t>This remains to be confirmed but there is an agreement in principle.</w:t>
      </w:r>
    </w:p>
  </w:footnote>
  <w:footnote w:id="9">
    <w:p w:rsidR="00917E97" w:rsidRPr="003E465C" w:rsidRDefault="00917E97" w:rsidP="00E46E8A">
      <w:pPr>
        <w:pStyle w:val="FootnoteText"/>
        <w:ind w:left="284" w:hanging="284"/>
        <w:rPr>
          <w:sz w:val="16"/>
          <w:szCs w:val="16"/>
          <w:lang w:val="en-GB"/>
        </w:rPr>
      </w:pPr>
      <w:r w:rsidRPr="006F0F22">
        <w:rPr>
          <w:rStyle w:val="FootnoteReference"/>
          <w:sz w:val="16"/>
          <w:szCs w:val="16"/>
          <w:lang w:val="en-GB"/>
        </w:rPr>
        <w:footnoteRef/>
      </w:r>
      <w:r w:rsidRPr="006F0F22">
        <w:rPr>
          <w:sz w:val="16"/>
          <w:szCs w:val="16"/>
          <w:lang w:val="en-GB"/>
        </w:rPr>
        <w:t xml:space="preserve">  </w:t>
      </w:r>
      <w:r w:rsidRPr="006F0F22">
        <w:rPr>
          <w:sz w:val="16"/>
          <w:szCs w:val="16"/>
          <w:lang w:val="en-GB"/>
        </w:rPr>
        <w:tab/>
        <w:t>This remains to be confirmed. During negotiations for</w:t>
      </w:r>
      <w:r w:rsidRPr="003E465C">
        <w:rPr>
          <w:sz w:val="16"/>
          <w:szCs w:val="16"/>
          <w:lang w:val="en-GB"/>
        </w:rPr>
        <w:t xml:space="preserve"> the fisheries agreements in early 2012, both government and EU supported a contribution from the revenues to the FBG capital. However, since the 2012 coup no agreement has been in force. Once the political situation in the country improves and elections are held in 2013/2014, negotiations will likely resume.</w:t>
      </w:r>
    </w:p>
  </w:footnote>
  <w:footnote w:id="10">
    <w:p w:rsidR="00917E97" w:rsidRPr="003E465C" w:rsidRDefault="00917E97" w:rsidP="003B3386">
      <w:pPr>
        <w:pStyle w:val="FootnoteText"/>
        <w:ind w:left="284" w:hanging="284"/>
        <w:rPr>
          <w:sz w:val="16"/>
          <w:szCs w:val="16"/>
          <w:lang w:val="en-GB"/>
        </w:rPr>
      </w:pPr>
      <w:r w:rsidRPr="003E465C">
        <w:rPr>
          <w:rStyle w:val="FootnoteReference"/>
          <w:sz w:val="16"/>
          <w:szCs w:val="16"/>
          <w:lang w:val="en-GB"/>
        </w:rPr>
        <w:footnoteRef/>
      </w:r>
      <w:r w:rsidRPr="003E465C">
        <w:rPr>
          <w:sz w:val="16"/>
          <w:szCs w:val="16"/>
          <w:lang w:val="en-GB"/>
        </w:rPr>
        <w:t xml:space="preserve">  </w:t>
      </w:r>
      <w:r w:rsidRPr="003E465C">
        <w:rPr>
          <w:sz w:val="16"/>
          <w:szCs w:val="16"/>
          <w:lang w:val="en-GB"/>
        </w:rPr>
        <w:tab/>
        <w:t xml:space="preserve">White-backed Vulture </w:t>
      </w:r>
      <w:r w:rsidRPr="003E465C">
        <w:rPr>
          <w:i/>
          <w:sz w:val="16"/>
          <w:szCs w:val="16"/>
          <w:lang w:val="en-GB"/>
        </w:rPr>
        <w:t>Gyps africanus</w:t>
      </w:r>
      <w:r w:rsidRPr="003E465C">
        <w:rPr>
          <w:sz w:val="16"/>
          <w:szCs w:val="16"/>
          <w:lang w:val="en-GB"/>
        </w:rPr>
        <w:t xml:space="preserve">, Rueppell's Vulture </w:t>
      </w:r>
      <w:r w:rsidRPr="003E465C">
        <w:rPr>
          <w:i/>
          <w:sz w:val="16"/>
          <w:szCs w:val="16"/>
          <w:lang w:val="en-GB"/>
        </w:rPr>
        <w:t>Gyps rueppellii</w:t>
      </w:r>
      <w:r w:rsidRPr="003E465C">
        <w:rPr>
          <w:sz w:val="16"/>
          <w:szCs w:val="16"/>
          <w:lang w:val="en-GB"/>
        </w:rPr>
        <w:t xml:space="preserve">, Hooded Vulture </w:t>
      </w:r>
      <w:r w:rsidRPr="003E465C">
        <w:rPr>
          <w:i/>
          <w:sz w:val="16"/>
          <w:szCs w:val="16"/>
          <w:lang w:val="en-GB"/>
        </w:rPr>
        <w:t>Necrosyrtes monachus</w:t>
      </w:r>
      <w:r w:rsidRPr="003E465C">
        <w:rPr>
          <w:sz w:val="16"/>
          <w:szCs w:val="16"/>
          <w:lang w:val="en-GB"/>
        </w:rPr>
        <w:t xml:space="preserve">, Egyptian Vulture </w:t>
      </w:r>
      <w:r w:rsidRPr="003E465C">
        <w:rPr>
          <w:i/>
          <w:sz w:val="16"/>
          <w:szCs w:val="16"/>
          <w:lang w:val="en-GB"/>
        </w:rPr>
        <w:t>Neophron percnopterus</w:t>
      </w:r>
      <w:r w:rsidRPr="003E465C">
        <w:rPr>
          <w:sz w:val="16"/>
          <w:szCs w:val="16"/>
          <w:lang w:val="en-GB"/>
        </w:rPr>
        <w:t>.</w:t>
      </w:r>
    </w:p>
  </w:footnote>
  <w:footnote w:id="11">
    <w:p w:rsidR="00917E97" w:rsidRPr="003E465C" w:rsidRDefault="00917E97" w:rsidP="003B3386">
      <w:pPr>
        <w:pStyle w:val="FootnoteText"/>
        <w:ind w:left="284" w:hanging="284"/>
        <w:rPr>
          <w:sz w:val="16"/>
          <w:szCs w:val="16"/>
          <w:lang w:val="en-GB"/>
        </w:rPr>
      </w:pPr>
      <w:r w:rsidRPr="003E465C">
        <w:rPr>
          <w:rStyle w:val="FootnoteReference"/>
          <w:sz w:val="16"/>
          <w:szCs w:val="16"/>
          <w:lang w:val="en-GB"/>
        </w:rPr>
        <w:footnoteRef/>
      </w:r>
      <w:r w:rsidRPr="003E465C">
        <w:rPr>
          <w:sz w:val="16"/>
          <w:szCs w:val="16"/>
          <w:lang w:val="en-GB"/>
        </w:rPr>
        <w:tab/>
        <w:t xml:space="preserve">Black Crowned-crane </w:t>
      </w:r>
      <w:r w:rsidRPr="003E465C">
        <w:rPr>
          <w:i/>
          <w:sz w:val="16"/>
          <w:szCs w:val="16"/>
          <w:lang w:val="en-GB"/>
        </w:rPr>
        <w:t>Balearica pavonina</w:t>
      </w:r>
      <w:r w:rsidRPr="003E465C">
        <w:rPr>
          <w:sz w:val="16"/>
          <w:szCs w:val="16"/>
          <w:lang w:val="en-GB"/>
        </w:rPr>
        <w:t xml:space="preserve">, Yellow-casqued Hornbill </w:t>
      </w:r>
      <w:r w:rsidRPr="003E465C">
        <w:rPr>
          <w:i/>
          <w:sz w:val="16"/>
          <w:szCs w:val="16"/>
          <w:lang w:val="en-GB"/>
        </w:rPr>
        <w:t>Ceratogymna elata</w:t>
      </w:r>
      <w:r w:rsidRPr="003E465C">
        <w:rPr>
          <w:sz w:val="16"/>
          <w:szCs w:val="16"/>
          <w:lang w:val="en-GB"/>
        </w:rPr>
        <w:t xml:space="preserve">, Timneh Parrot </w:t>
      </w:r>
      <w:r w:rsidRPr="003E465C">
        <w:rPr>
          <w:i/>
          <w:sz w:val="16"/>
          <w:szCs w:val="16"/>
          <w:lang w:val="en-GB"/>
        </w:rPr>
        <w:t>Psittacus timneh</w:t>
      </w:r>
      <w:r w:rsidRPr="003E465C">
        <w:rPr>
          <w:sz w:val="16"/>
          <w:szCs w:val="16"/>
          <w:lang w:val="en-GB"/>
        </w:rPr>
        <w:t xml:space="preserve">, Secretarybird </w:t>
      </w:r>
      <w:r w:rsidRPr="003E465C">
        <w:rPr>
          <w:i/>
          <w:sz w:val="16"/>
          <w:szCs w:val="16"/>
          <w:lang w:val="en-GB"/>
        </w:rPr>
        <w:t>Sagittarius serpentarius</w:t>
      </w:r>
      <w:r w:rsidRPr="003E465C">
        <w:rPr>
          <w:sz w:val="16"/>
          <w:szCs w:val="16"/>
          <w:lang w:val="en-GB"/>
        </w:rPr>
        <w:t xml:space="preserve">, White-headed Vulture </w:t>
      </w:r>
      <w:r w:rsidRPr="003E465C">
        <w:rPr>
          <w:i/>
          <w:sz w:val="16"/>
          <w:szCs w:val="16"/>
          <w:lang w:val="en-GB"/>
        </w:rPr>
        <w:t>Trigonoceps occipitalis.</w:t>
      </w:r>
    </w:p>
  </w:footnote>
  <w:footnote w:id="12">
    <w:p w:rsidR="00917E97" w:rsidRPr="003E465C" w:rsidRDefault="00917E97" w:rsidP="002F0DE6">
      <w:pPr>
        <w:pStyle w:val="FootnoteText"/>
        <w:ind w:left="284" w:hanging="284"/>
        <w:rPr>
          <w:sz w:val="16"/>
          <w:szCs w:val="16"/>
          <w:lang w:val="fr-FR"/>
        </w:rPr>
      </w:pPr>
      <w:r w:rsidRPr="003E465C">
        <w:rPr>
          <w:rStyle w:val="FootnoteReference"/>
          <w:sz w:val="16"/>
          <w:szCs w:val="16"/>
          <w:lang w:val="en-GB"/>
        </w:rPr>
        <w:footnoteRef/>
      </w:r>
      <w:r w:rsidRPr="003E465C">
        <w:rPr>
          <w:sz w:val="16"/>
          <w:szCs w:val="16"/>
          <w:lang w:val="en-GB"/>
        </w:rPr>
        <w:tab/>
        <w:t xml:space="preserve">GEF evaluation of experience with conservation trust funds. </w:t>
      </w:r>
      <w:r w:rsidRPr="003E465C">
        <w:rPr>
          <w:sz w:val="16"/>
          <w:szCs w:val="16"/>
          <w:lang w:val="fr-FR"/>
        </w:rPr>
        <w:t>GEF Council, Washington DC, 1998.</w:t>
      </w:r>
    </w:p>
  </w:footnote>
  <w:footnote w:id="13">
    <w:p w:rsidR="00917E97" w:rsidRPr="003E465C" w:rsidRDefault="00917E97" w:rsidP="003B3386">
      <w:pPr>
        <w:pStyle w:val="FootnoteText"/>
        <w:ind w:left="284" w:hanging="284"/>
        <w:rPr>
          <w:sz w:val="16"/>
          <w:szCs w:val="16"/>
          <w:lang w:val="it-IT"/>
        </w:rPr>
      </w:pPr>
      <w:r w:rsidRPr="003E465C">
        <w:rPr>
          <w:rStyle w:val="FootnoteReference"/>
          <w:sz w:val="16"/>
          <w:szCs w:val="16"/>
          <w:lang w:val="en-GB"/>
        </w:rPr>
        <w:footnoteRef/>
      </w:r>
      <w:r w:rsidRPr="003E465C">
        <w:rPr>
          <w:sz w:val="16"/>
          <w:szCs w:val="16"/>
          <w:lang w:val="fr-FR"/>
        </w:rPr>
        <w:t xml:space="preserve">  </w:t>
      </w:r>
      <w:r w:rsidRPr="003E465C">
        <w:rPr>
          <w:sz w:val="16"/>
          <w:szCs w:val="16"/>
          <w:lang w:val="fr-FR"/>
        </w:rPr>
        <w:tab/>
        <w:t xml:space="preserve">Document de Politique de Développement Forestier.  </w:t>
      </w:r>
      <w:r w:rsidRPr="003E465C">
        <w:rPr>
          <w:sz w:val="16"/>
          <w:szCs w:val="16"/>
          <w:lang w:val="it-IT"/>
        </w:rPr>
        <w:t>Version finale, 2010. República da Guinée-Bissau Ministério da Agricultura e Desenvolvimento Rural.</w:t>
      </w:r>
    </w:p>
  </w:footnote>
  <w:footnote w:id="14">
    <w:p w:rsidR="00917E97" w:rsidRPr="003E465C" w:rsidRDefault="00917E97" w:rsidP="003B3386">
      <w:pPr>
        <w:pStyle w:val="FootnoteText"/>
        <w:ind w:left="284" w:hanging="284"/>
        <w:rPr>
          <w:sz w:val="16"/>
          <w:szCs w:val="16"/>
          <w:lang w:val="it-IT"/>
        </w:rPr>
      </w:pPr>
      <w:r w:rsidRPr="003E465C">
        <w:rPr>
          <w:rStyle w:val="FootnoteReference"/>
          <w:sz w:val="16"/>
          <w:szCs w:val="16"/>
          <w:lang w:val="en-GB"/>
        </w:rPr>
        <w:footnoteRef/>
      </w:r>
      <w:r w:rsidRPr="003E465C">
        <w:rPr>
          <w:sz w:val="16"/>
          <w:szCs w:val="16"/>
          <w:lang w:val="it-IT"/>
        </w:rPr>
        <w:t xml:space="preserve">  </w:t>
      </w:r>
      <w:r w:rsidRPr="003E465C">
        <w:rPr>
          <w:sz w:val="16"/>
          <w:szCs w:val="16"/>
          <w:lang w:val="it-IT"/>
        </w:rPr>
        <w:tab/>
        <w:t>Chimpanzee oil-palm use in southern Cantanhez N.P, Guinea-Bissau.Sousa J, Barata AV, Sousa C, Casanova CC, Vicente L. Am J Primatol. 2011,73(5):485-97.</w:t>
      </w:r>
    </w:p>
  </w:footnote>
  <w:footnote w:id="15">
    <w:p w:rsidR="00917E97" w:rsidRPr="003E465C" w:rsidRDefault="00917E97" w:rsidP="003B3386">
      <w:pPr>
        <w:pStyle w:val="FootnoteText"/>
        <w:ind w:left="284" w:hanging="284"/>
        <w:rPr>
          <w:sz w:val="16"/>
          <w:szCs w:val="16"/>
          <w:lang w:val="en-GB"/>
        </w:rPr>
      </w:pPr>
      <w:r w:rsidRPr="003E465C">
        <w:rPr>
          <w:rStyle w:val="FootnoteReference"/>
          <w:sz w:val="16"/>
          <w:szCs w:val="16"/>
          <w:lang w:val="en-GB"/>
        </w:rPr>
        <w:footnoteRef/>
      </w:r>
      <w:r w:rsidRPr="003E465C">
        <w:rPr>
          <w:sz w:val="16"/>
          <w:szCs w:val="16"/>
          <w:lang w:val="it-IT"/>
        </w:rPr>
        <w:t xml:space="preserve">  </w:t>
      </w:r>
      <w:r w:rsidRPr="003E465C">
        <w:rPr>
          <w:sz w:val="16"/>
          <w:szCs w:val="16"/>
          <w:lang w:val="it-IT"/>
        </w:rPr>
        <w:tab/>
        <w:t xml:space="preserve">Dodman, T., Barlow,C., Sa,J. &amp; Robertson, P. 2004. Zonas Importantes para as Aves na Guine-Bissau/Important Bird Areas in Guinea-Bissau. </w:t>
      </w:r>
      <w:r w:rsidRPr="003E465C">
        <w:rPr>
          <w:sz w:val="16"/>
          <w:szCs w:val="16"/>
          <w:lang w:val="en-GB"/>
        </w:rPr>
        <w:t>Wetlands International, Dakar. 130 pp.</w:t>
      </w:r>
    </w:p>
  </w:footnote>
  <w:footnote w:id="16">
    <w:p w:rsidR="00917E97" w:rsidRPr="003E465C" w:rsidRDefault="00917E97" w:rsidP="003B3386">
      <w:pPr>
        <w:pStyle w:val="FootnoteText"/>
        <w:ind w:left="284" w:hanging="284"/>
        <w:rPr>
          <w:sz w:val="16"/>
          <w:szCs w:val="16"/>
          <w:lang w:val="fr-FR"/>
        </w:rPr>
      </w:pPr>
      <w:r w:rsidRPr="003E465C">
        <w:rPr>
          <w:rStyle w:val="FootnoteReference"/>
          <w:sz w:val="16"/>
          <w:szCs w:val="16"/>
          <w:lang w:val="en-GB"/>
        </w:rPr>
        <w:footnoteRef/>
      </w:r>
      <w:r w:rsidRPr="003E465C">
        <w:rPr>
          <w:sz w:val="16"/>
          <w:szCs w:val="16"/>
          <w:lang w:val="en-GB"/>
        </w:rPr>
        <w:t xml:space="preserve">  </w:t>
      </w:r>
      <w:r w:rsidRPr="003E465C">
        <w:rPr>
          <w:sz w:val="16"/>
          <w:szCs w:val="16"/>
          <w:lang w:val="en-GB"/>
        </w:rPr>
        <w:tab/>
        <w:t xml:space="preserve">The total population living within the Cantanhez NP was estimated in 2007 at 23,992 from six main ethnic groups: Nalus (32,4%); Balantas (26.1%); Mandingas (15,3%); Fulas (9,0%); Tandas (5,4%); Sussus (3,6%).  </w:t>
      </w:r>
      <w:r w:rsidRPr="003E465C">
        <w:rPr>
          <w:sz w:val="16"/>
          <w:szCs w:val="16"/>
          <w:lang w:val="fr-FR"/>
        </w:rPr>
        <w:t>Annualgrowth rate 1.6%.  Source : Plano de gestão,  PN de Cantanhez.</w:t>
      </w:r>
    </w:p>
  </w:footnote>
  <w:footnote w:id="17">
    <w:p w:rsidR="00917E97" w:rsidRPr="003E465C" w:rsidRDefault="00917E97" w:rsidP="003B3386">
      <w:pPr>
        <w:pStyle w:val="FootnoteText"/>
        <w:ind w:left="284" w:hanging="284"/>
        <w:rPr>
          <w:sz w:val="16"/>
          <w:szCs w:val="16"/>
          <w:lang w:val="fr-FR"/>
        </w:rPr>
      </w:pPr>
      <w:r w:rsidRPr="003E465C">
        <w:rPr>
          <w:rStyle w:val="FootnoteReference"/>
          <w:sz w:val="16"/>
          <w:szCs w:val="16"/>
          <w:lang w:val="en-GB"/>
        </w:rPr>
        <w:footnoteRef/>
      </w:r>
      <w:r w:rsidRPr="003E465C">
        <w:rPr>
          <w:sz w:val="16"/>
          <w:szCs w:val="16"/>
          <w:lang w:val="fr-FR"/>
        </w:rPr>
        <w:t xml:space="preserve">  </w:t>
      </w:r>
      <w:r w:rsidRPr="003E465C">
        <w:rPr>
          <w:sz w:val="16"/>
          <w:szCs w:val="16"/>
          <w:lang w:val="fr-FR"/>
        </w:rPr>
        <w:tab/>
        <w:t>Etude des impacts environnementaux du projet de création du Parc National de Cantanhez,  rapport final provisoire BRL Ingénierie, Mars 2007.</w:t>
      </w:r>
    </w:p>
  </w:footnote>
  <w:footnote w:id="18">
    <w:p w:rsidR="000F2E51" w:rsidRPr="003E465C" w:rsidRDefault="000F2E51" w:rsidP="000F2E51">
      <w:pPr>
        <w:pStyle w:val="FootnoteText"/>
        <w:ind w:left="284" w:hanging="284"/>
        <w:rPr>
          <w:sz w:val="16"/>
          <w:szCs w:val="16"/>
          <w:lang w:val="en-GB"/>
        </w:rPr>
      </w:pPr>
      <w:r w:rsidRPr="00F327E0">
        <w:rPr>
          <w:rStyle w:val="FootnoteReference"/>
          <w:sz w:val="16"/>
          <w:szCs w:val="16"/>
          <w:highlight w:val="yellow"/>
          <w:lang w:val="en-GB"/>
        </w:rPr>
        <w:footnoteRef/>
      </w:r>
      <w:r w:rsidRPr="00F327E0">
        <w:rPr>
          <w:sz w:val="16"/>
          <w:szCs w:val="16"/>
          <w:highlight w:val="yellow"/>
          <w:lang w:val="en-GB"/>
        </w:rPr>
        <w:t xml:space="preserve">  </w:t>
      </w:r>
      <w:r w:rsidRPr="00F327E0">
        <w:rPr>
          <w:sz w:val="16"/>
          <w:szCs w:val="16"/>
          <w:highlight w:val="yellow"/>
          <w:lang w:val="en-GB"/>
        </w:rPr>
        <w:tab/>
        <w:t>This remains to be confirmed but there is an agreement in principle to look favourably at a request.</w:t>
      </w:r>
      <w:r w:rsidRPr="003E465C">
        <w:rPr>
          <w:sz w:val="16"/>
          <w:szCs w:val="16"/>
          <w:lang w:val="en-GB"/>
        </w:rPr>
        <w:t xml:space="preserve"> </w:t>
      </w:r>
    </w:p>
  </w:footnote>
  <w:footnote w:id="19">
    <w:p w:rsidR="000F2E51" w:rsidRPr="003E465C" w:rsidRDefault="000F2E51" w:rsidP="000F2E51">
      <w:pPr>
        <w:pStyle w:val="FootnoteText"/>
        <w:ind w:left="284" w:hanging="284"/>
        <w:rPr>
          <w:sz w:val="16"/>
          <w:szCs w:val="16"/>
          <w:lang w:val="en-GB"/>
        </w:rPr>
      </w:pPr>
      <w:r w:rsidRPr="003E465C">
        <w:rPr>
          <w:rStyle w:val="FootnoteReference"/>
          <w:sz w:val="16"/>
          <w:szCs w:val="16"/>
          <w:lang w:val="en-GB"/>
        </w:rPr>
        <w:footnoteRef/>
      </w:r>
      <w:r w:rsidRPr="003E465C">
        <w:rPr>
          <w:sz w:val="16"/>
          <w:szCs w:val="16"/>
          <w:lang w:val="en-GB"/>
        </w:rPr>
        <w:t xml:space="preserve">  </w:t>
      </w:r>
      <w:r w:rsidRPr="003E465C">
        <w:rPr>
          <w:sz w:val="16"/>
          <w:szCs w:val="16"/>
          <w:lang w:val="en-GB"/>
        </w:rPr>
        <w:tab/>
        <w:t>This remains to be confirmed. During negotiations for the fisheries agreements in early 2012, both government and EU supported a contribution from the revenues to the FBG capital. However, since the 2012 coup no agreement has been in force. Once the political situation in the country improves and elections are held in 2013/2014, negotiations will likely resume.</w:t>
      </w:r>
    </w:p>
  </w:footnote>
  <w:footnote w:id="20">
    <w:p w:rsidR="001567E4" w:rsidRPr="003E465C" w:rsidRDefault="001567E4" w:rsidP="001567E4">
      <w:pPr>
        <w:pStyle w:val="FootnoteText"/>
        <w:ind w:left="284" w:hanging="284"/>
        <w:rPr>
          <w:sz w:val="16"/>
          <w:szCs w:val="16"/>
        </w:rPr>
      </w:pPr>
      <w:r w:rsidRPr="003E465C">
        <w:rPr>
          <w:rStyle w:val="FootnoteReference"/>
          <w:sz w:val="16"/>
          <w:szCs w:val="16"/>
          <w:highlight w:val="yellow"/>
        </w:rPr>
        <w:footnoteRef/>
      </w:r>
      <w:r w:rsidRPr="003E465C">
        <w:rPr>
          <w:sz w:val="16"/>
          <w:szCs w:val="16"/>
          <w:highlight w:val="yellow"/>
        </w:rPr>
        <w:t xml:space="preserve">  </w:t>
      </w:r>
      <w:r w:rsidRPr="003E465C">
        <w:rPr>
          <w:sz w:val="16"/>
          <w:szCs w:val="16"/>
          <w:highlight w:val="yellow"/>
        </w:rPr>
        <w:tab/>
      </w:r>
      <w:r w:rsidRPr="003E465C">
        <w:rPr>
          <w:sz w:val="16"/>
          <w:szCs w:val="16"/>
          <w:highlight w:val="yellow"/>
          <w:lang w:val="en-GB"/>
        </w:rPr>
        <w:t>This remains to be confirmed but there is an agreement in principle.</w:t>
      </w:r>
    </w:p>
  </w:footnote>
  <w:footnote w:id="21">
    <w:p w:rsidR="00917E97" w:rsidRPr="00EC15A5" w:rsidRDefault="00917E97" w:rsidP="003B3386">
      <w:pPr>
        <w:pStyle w:val="FootnoteText"/>
        <w:ind w:left="284" w:hanging="284"/>
        <w:rPr>
          <w:sz w:val="16"/>
          <w:szCs w:val="16"/>
          <w:lang w:val="pt-BR"/>
        </w:rPr>
      </w:pPr>
      <w:r w:rsidRPr="003E465C">
        <w:rPr>
          <w:rStyle w:val="FootnoteReference"/>
          <w:sz w:val="16"/>
          <w:szCs w:val="16"/>
          <w:lang w:val="en-GB"/>
        </w:rPr>
        <w:footnoteRef/>
      </w:r>
      <w:r w:rsidRPr="00EC15A5">
        <w:rPr>
          <w:sz w:val="16"/>
          <w:szCs w:val="16"/>
          <w:lang w:val="pt-BR"/>
        </w:rPr>
        <w:t xml:space="preserve">   </w:t>
      </w:r>
      <w:r w:rsidRPr="00EC15A5">
        <w:rPr>
          <w:sz w:val="16"/>
          <w:szCs w:val="16"/>
          <w:lang w:val="pt-BR"/>
        </w:rPr>
        <w:tab/>
        <w:t xml:space="preserve">Plano de gestão,  Parque Nacional de Cantanhez (2008-2013). </w:t>
      </w:r>
    </w:p>
  </w:footnote>
  <w:footnote w:id="22">
    <w:p w:rsidR="00917E97" w:rsidRPr="003E465C" w:rsidRDefault="00917E97" w:rsidP="003B3386">
      <w:pPr>
        <w:pStyle w:val="FootnoteText"/>
        <w:ind w:left="284" w:hanging="284"/>
        <w:rPr>
          <w:sz w:val="16"/>
          <w:szCs w:val="16"/>
          <w:lang w:val="it-IT"/>
        </w:rPr>
      </w:pPr>
      <w:r w:rsidRPr="003E465C">
        <w:rPr>
          <w:rStyle w:val="FootnoteReference"/>
          <w:sz w:val="16"/>
          <w:szCs w:val="16"/>
          <w:lang w:val="en-GB"/>
        </w:rPr>
        <w:footnoteRef/>
      </w:r>
      <w:r w:rsidRPr="003E465C">
        <w:rPr>
          <w:sz w:val="16"/>
          <w:szCs w:val="16"/>
          <w:lang w:val="it-IT"/>
        </w:rPr>
        <w:t xml:space="preserve">   </w:t>
      </w:r>
      <w:r w:rsidRPr="003E465C">
        <w:rPr>
          <w:sz w:val="16"/>
          <w:szCs w:val="16"/>
          <w:lang w:val="it-IT"/>
        </w:rPr>
        <w:tab/>
        <w:t xml:space="preserve">Zoning of Cantanhez NP : Conservation zone: 21,352 ha;  Buffer zone:  44,713 ha;  Development Zone 39,703 ha. </w:t>
      </w:r>
    </w:p>
  </w:footnote>
  <w:footnote w:id="23">
    <w:p w:rsidR="00917E97" w:rsidRPr="003E465C" w:rsidRDefault="00917E97" w:rsidP="003B3386">
      <w:pPr>
        <w:pStyle w:val="FootnoteText"/>
        <w:ind w:left="284" w:hanging="284"/>
        <w:rPr>
          <w:sz w:val="16"/>
          <w:szCs w:val="16"/>
          <w:lang w:val="en-GB"/>
        </w:rPr>
      </w:pPr>
      <w:r w:rsidRPr="003E465C">
        <w:rPr>
          <w:rStyle w:val="FootnoteReference"/>
          <w:sz w:val="16"/>
          <w:szCs w:val="16"/>
          <w:lang w:val="en-GB"/>
        </w:rPr>
        <w:footnoteRef/>
      </w:r>
      <w:r w:rsidRPr="003E465C">
        <w:rPr>
          <w:sz w:val="16"/>
          <w:szCs w:val="16"/>
          <w:lang w:val="en-GB"/>
        </w:rPr>
        <w:t xml:space="preserve">  </w:t>
      </w:r>
      <w:r w:rsidRPr="003E465C">
        <w:rPr>
          <w:sz w:val="16"/>
          <w:szCs w:val="16"/>
          <w:lang w:val="en-GB"/>
        </w:rPr>
        <w:tab/>
        <w:t>See Sec. 2.2, Forestry Master Plan (2010) and Sec. 5, Lei Florestal, No. 5/2011 for new vision for the preservation of forest resources;  see Sec. 5.3.9 - 5.3.10 of National Forestry Policy (2010) for issues related to PAs and coordination with IBAP.</w:t>
      </w:r>
    </w:p>
  </w:footnote>
  <w:footnote w:id="24">
    <w:p w:rsidR="00917E97" w:rsidRPr="003E465C" w:rsidRDefault="00917E97" w:rsidP="003B3386">
      <w:pPr>
        <w:pStyle w:val="FootnoteText"/>
        <w:ind w:left="284" w:hanging="284"/>
        <w:rPr>
          <w:sz w:val="16"/>
          <w:szCs w:val="16"/>
        </w:rPr>
      </w:pPr>
      <w:r w:rsidRPr="003E465C">
        <w:rPr>
          <w:rStyle w:val="FootnoteReference"/>
          <w:sz w:val="16"/>
          <w:szCs w:val="16"/>
        </w:rPr>
        <w:footnoteRef/>
      </w:r>
      <w:r w:rsidRPr="003E465C">
        <w:rPr>
          <w:sz w:val="16"/>
          <w:szCs w:val="16"/>
        </w:rPr>
        <w:t xml:space="preserve"> </w:t>
      </w:r>
      <w:r w:rsidRPr="003E465C">
        <w:rPr>
          <w:sz w:val="16"/>
          <w:szCs w:val="16"/>
        </w:rPr>
        <w:tab/>
        <w:t>By 2020, the rate of loss of all natural habitats, including forests, is at least halved and where feasible brought close to zero, and degradation and fragmentation is significantly reduced.</w:t>
      </w:r>
    </w:p>
  </w:footnote>
  <w:footnote w:id="25">
    <w:p w:rsidR="00917E97" w:rsidRPr="003E465C" w:rsidRDefault="00917E97" w:rsidP="00B41817">
      <w:pPr>
        <w:pStyle w:val="FootnoteText"/>
        <w:ind w:left="284" w:hanging="284"/>
        <w:rPr>
          <w:sz w:val="16"/>
          <w:szCs w:val="16"/>
        </w:rPr>
      </w:pPr>
      <w:r w:rsidRPr="003E465C">
        <w:rPr>
          <w:rStyle w:val="FootnoteReference"/>
          <w:sz w:val="16"/>
          <w:szCs w:val="16"/>
        </w:rPr>
        <w:footnoteRef/>
      </w:r>
      <w:r w:rsidRPr="003E465C">
        <w:rPr>
          <w:sz w:val="16"/>
          <w:szCs w:val="16"/>
        </w:rPr>
        <w:t xml:space="preserve"> </w:t>
      </w:r>
      <w:r w:rsidRPr="003E465C">
        <w:rPr>
          <w:sz w:val="16"/>
          <w:szCs w:val="16"/>
        </w:rPr>
        <w:tab/>
        <w:t>By 2020 the extinction of known threatened species has been prevented and their conservation status, particularly of those most in decline, has been improved and sustained.</w:t>
      </w:r>
    </w:p>
  </w:footnote>
  <w:footnote w:id="26">
    <w:p w:rsidR="00917E97" w:rsidRPr="003E465C" w:rsidRDefault="00917E97" w:rsidP="003B3386">
      <w:pPr>
        <w:pStyle w:val="FootnoteText"/>
        <w:ind w:left="284" w:hanging="284"/>
        <w:rPr>
          <w:sz w:val="16"/>
          <w:szCs w:val="16"/>
        </w:rPr>
      </w:pPr>
      <w:r w:rsidRPr="003E465C">
        <w:rPr>
          <w:rStyle w:val="FootnoteReference"/>
          <w:sz w:val="16"/>
          <w:szCs w:val="16"/>
        </w:rPr>
        <w:footnoteRef/>
      </w:r>
      <w:r w:rsidRPr="003E465C">
        <w:rPr>
          <w:sz w:val="16"/>
          <w:szCs w:val="16"/>
        </w:rPr>
        <w:t xml:space="preserve"> </w:t>
      </w:r>
      <w:r w:rsidRPr="003E465C">
        <w:rPr>
          <w:sz w:val="16"/>
          <w:szCs w:val="16"/>
        </w:rPr>
        <w:tab/>
        <w:t>By 2020, at least 17 per cent of terrestrial and inland water areas,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w:t>
      </w:r>
    </w:p>
  </w:footnote>
  <w:footnote w:id="27">
    <w:p w:rsidR="00917E97" w:rsidRPr="003E465C" w:rsidRDefault="00917E97" w:rsidP="003B3386">
      <w:pPr>
        <w:pStyle w:val="FootnoteText"/>
        <w:ind w:left="284" w:hanging="284"/>
        <w:rPr>
          <w:sz w:val="16"/>
          <w:szCs w:val="16"/>
        </w:rPr>
      </w:pPr>
      <w:r w:rsidRPr="003E465C">
        <w:rPr>
          <w:rStyle w:val="FootnoteReference"/>
          <w:sz w:val="16"/>
          <w:szCs w:val="16"/>
        </w:rPr>
        <w:footnoteRef/>
      </w:r>
      <w:r w:rsidRPr="003E465C">
        <w:rPr>
          <w:sz w:val="16"/>
          <w:szCs w:val="16"/>
        </w:rPr>
        <w:t xml:space="preserve"> </w:t>
      </w:r>
      <w:r w:rsidRPr="003E465C">
        <w:rPr>
          <w:sz w:val="16"/>
          <w:szCs w:val="16"/>
        </w:rPr>
        <w:tab/>
        <w:t>By 2020, at the latest, the mobilization of financial resources for effectively implementing the Strategic Plan for Biodiversity 2011-2020 from all sources, and in accordance with the consolidated and agreed process in the Strategy for Resource Mobilization, should increase substantially from the current levels. This target will be subject to changes contingent to resource needs assessments to be developed and reported by Parties.</w:t>
      </w:r>
    </w:p>
  </w:footnote>
  <w:footnote w:id="28">
    <w:p w:rsidR="00917E97" w:rsidRPr="003E465C" w:rsidRDefault="00917E97" w:rsidP="003B3386">
      <w:pPr>
        <w:pStyle w:val="FootnoteText"/>
        <w:ind w:left="284" w:hanging="284"/>
        <w:rPr>
          <w:sz w:val="16"/>
          <w:szCs w:val="16"/>
        </w:rPr>
      </w:pPr>
      <w:r w:rsidRPr="003E465C">
        <w:rPr>
          <w:rStyle w:val="FootnoteReference"/>
          <w:sz w:val="16"/>
          <w:szCs w:val="16"/>
        </w:rPr>
        <w:footnoteRef/>
      </w:r>
      <w:r w:rsidRPr="003E465C">
        <w:rPr>
          <w:sz w:val="16"/>
          <w:szCs w:val="16"/>
        </w:rPr>
        <w:t xml:space="preserve"> </w:t>
      </w:r>
      <w:r w:rsidRPr="003E465C">
        <w:rPr>
          <w:sz w:val="16"/>
          <w:szCs w:val="16"/>
        </w:rPr>
        <w:tab/>
        <w:t>By 2020 areas under agriculture, aquaculture and forestry are managed sustainably, ensuring conservation of biodiversity.</w:t>
      </w:r>
    </w:p>
  </w:footnote>
  <w:footnote w:id="29">
    <w:p w:rsidR="00917E97" w:rsidRPr="003E465C" w:rsidRDefault="00917E97" w:rsidP="003B3386">
      <w:pPr>
        <w:pStyle w:val="FootnoteText"/>
        <w:ind w:left="284" w:hanging="284"/>
        <w:rPr>
          <w:sz w:val="16"/>
          <w:szCs w:val="16"/>
        </w:rPr>
      </w:pPr>
      <w:r w:rsidRPr="003E465C">
        <w:rPr>
          <w:rStyle w:val="FootnoteReference"/>
          <w:sz w:val="16"/>
          <w:szCs w:val="16"/>
        </w:rPr>
        <w:footnoteRef/>
      </w:r>
      <w:r w:rsidRPr="003E465C">
        <w:rPr>
          <w:sz w:val="16"/>
          <w:szCs w:val="16"/>
        </w:rPr>
        <w:t xml:space="preserve"> </w:t>
      </w:r>
      <w:r w:rsidRPr="003E465C">
        <w:rPr>
          <w:sz w:val="16"/>
          <w:szCs w:val="16"/>
        </w:rPr>
        <w:tab/>
        <w:t>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643"/>
        </w:tabs>
        <w:ind w:left="643" w:hanging="360"/>
      </w:pPr>
    </w:lvl>
  </w:abstractNum>
  <w:abstractNum w:abstractNumId="1">
    <w:nsid w:val="05C635DB"/>
    <w:multiLevelType w:val="hybridMultilevel"/>
    <w:tmpl w:val="8B409598"/>
    <w:lvl w:ilvl="0" w:tplc="E3A82504">
      <w:start w:val="1"/>
      <w:numFmt w:val="upperLetter"/>
      <w:lvlText w:val="%1."/>
      <w:lvlJc w:val="left"/>
      <w:pPr>
        <w:tabs>
          <w:tab w:val="num" w:pos="720"/>
        </w:tabs>
        <w:ind w:left="720" w:hanging="360"/>
      </w:pPr>
      <w:rPr>
        <w:rFonts w:ascii="Times New Roman Bold" w:hAnsi="Times New Roman 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E140B0"/>
    <w:multiLevelType w:val="hybridMultilevel"/>
    <w:tmpl w:val="52620150"/>
    <w:lvl w:ilvl="0" w:tplc="0409000F">
      <w:start w:val="1"/>
      <w:numFmt w:val="decimal"/>
      <w:lvlText w:val="%1."/>
      <w:lvlJc w:val="left"/>
      <w:pPr>
        <w:ind w:left="2912" w:hanging="360"/>
      </w:pPr>
      <w:rPr>
        <w:rFonts w:hint="default"/>
      </w:rPr>
    </w:lvl>
    <w:lvl w:ilvl="1" w:tplc="040C0019">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3">
    <w:nsid w:val="09FF355E"/>
    <w:multiLevelType w:val="hybridMultilevel"/>
    <w:tmpl w:val="8138C9D2"/>
    <w:lvl w:ilvl="0" w:tplc="0B3A28B4">
      <w:start w:val="1"/>
      <w:numFmt w:val="lowerRoman"/>
      <w:lvlText w:val="(%1)"/>
      <w:lvlJc w:val="left"/>
      <w:pPr>
        <w:ind w:left="2989" w:hanging="720"/>
      </w:pPr>
      <w:rPr>
        <w:rFonts w:hint="default"/>
        <w:lang w:val="en-GB"/>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4">
    <w:nsid w:val="0C886549"/>
    <w:multiLevelType w:val="hybridMultilevel"/>
    <w:tmpl w:val="CF0801F2"/>
    <w:lvl w:ilvl="0" w:tplc="0409000F">
      <w:start w:val="1"/>
      <w:numFmt w:val="decimal"/>
      <w:lvlText w:val="%1."/>
      <w:lvlJc w:val="left"/>
      <w:pPr>
        <w:ind w:left="2912" w:hanging="360"/>
      </w:pPr>
      <w:rPr>
        <w:rFonts w:hint="default"/>
      </w:rPr>
    </w:lvl>
    <w:lvl w:ilvl="1" w:tplc="040C0019">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5">
    <w:nsid w:val="0F450699"/>
    <w:multiLevelType w:val="hybridMultilevel"/>
    <w:tmpl w:val="F71A6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19361A9"/>
    <w:multiLevelType w:val="hybridMultilevel"/>
    <w:tmpl w:val="CECA9D9E"/>
    <w:lvl w:ilvl="0" w:tplc="0409000F">
      <w:start w:val="1"/>
      <w:numFmt w:val="decimal"/>
      <w:lvlText w:val="%1."/>
      <w:lvlJc w:val="left"/>
      <w:pPr>
        <w:ind w:left="360" w:hanging="360"/>
      </w:pPr>
      <w:rPr>
        <w:rFonts w:hint="default"/>
      </w:rPr>
    </w:lvl>
    <w:lvl w:ilvl="1" w:tplc="040C0019">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8">
    <w:nsid w:val="13D46355"/>
    <w:multiLevelType w:val="hybridMultilevel"/>
    <w:tmpl w:val="0B98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F7665"/>
    <w:multiLevelType w:val="hybridMultilevel"/>
    <w:tmpl w:val="56FEBBC0"/>
    <w:lvl w:ilvl="0" w:tplc="93B6391C">
      <w:start w:val="1"/>
      <w:numFmt w:val="upperLetter"/>
      <w:lvlText w:val="%1."/>
      <w:lvlJc w:val="left"/>
      <w:pPr>
        <w:ind w:left="-180" w:hanging="360"/>
      </w:pPr>
      <w:rPr>
        <w:rFonts w:hint="default"/>
      </w:rPr>
    </w:lvl>
    <w:lvl w:ilvl="1" w:tplc="040C0019" w:tentative="1">
      <w:start w:val="1"/>
      <w:numFmt w:val="lowerLetter"/>
      <w:lvlText w:val="%2."/>
      <w:lvlJc w:val="left"/>
      <w:pPr>
        <w:ind w:left="540" w:hanging="360"/>
      </w:pPr>
    </w:lvl>
    <w:lvl w:ilvl="2" w:tplc="040C001B" w:tentative="1">
      <w:start w:val="1"/>
      <w:numFmt w:val="lowerRoman"/>
      <w:lvlText w:val="%3."/>
      <w:lvlJc w:val="right"/>
      <w:pPr>
        <w:ind w:left="1260" w:hanging="180"/>
      </w:pPr>
    </w:lvl>
    <w:lvl w:ilvl="3" w:tplc="040C000F" w:tentative="1">
      <w:start w:val="1"/>
      <w:numFmt w:val="decimal"/>
      <w:lvlText w:val="%4."/>
      <w:lvlJc w:val="left"/>
      <w:pPr>
        <w:ind w:left="1980" w:hanging="360"/>
      </w:pPr>
    </w:lvl>
    <w:lvl w:ilvl="4" w:tplc="040C0019" w:tentative="1">
      <w:start w:val="1"/>
      <w:numFmt w:val="lowerLetter"/>
      <w:lvlText w:val="%5."/>
      <w:lvlJc w:val="left"/>
      <w:pPr>
        <w:ind w:left="2700" w:hanging="360"/>
      </w:pPr>
    </w:lvl>
    <w:lvl w:ilvl="5" w:tplc="040C001B" w:tentative="1">
      <w:start w:val="1"/>
      <w:numFmt w:val="lowerRoman"/>
      <w:lvlText w:val="%6."/>
      <w:lvlJc w:val="right"/>
      <w:pPr>
        <w:ind w:left="3420" w:hanging="180"/>
      </w:pPr>
    </w:lvl>
    <w:lvl w:ilvl="6" w:tplc="040C000F" w:tentative="1">
      <w:start w:val="1"/>
      <w:numFmt w:val="decimal"/>
      <w:lvlText w:val="%7."/>
      <w:lvlJc w:val="left"/>
      <w:pPr>
        <w:ind w:left="4140" w:hanging="360"/>
      </w:pPr>
    </w:lvl>
    <w:lvl w:ilvl="7" w:tplc="040C0019" w:tentative="1">
      <w:start w:val="1"/>
      <w:numFmt w:val="lowerLetter"/>
      <w:lvlText w:val="%8."/>
      <w:lvlJc w:val="left"/>
      <w:pPr>
        <w:ind w:left="4860" w:hanging="360"/>
      </w:pPr>
    </w:lvl>
    <w:lvl w:ilvl="8" w:tplc="040C001B" w:tentative="1">
      <w:start w:val="1"/>
      <w:numFmt w:val="lowerRoman"/>
      <w:lvlText w:val="%9."/>
      <w:lvlJc w:val="right"/>
      <w:pPr>
        <w:ind w:left="5580" w:hanging="180"/>
      </w:pPr>
    </w:lvl>
  </w:abstractNum>
  <w:abstractNum w:abstractNumId="10">
    <w:nsid w:val="217C422D"/>
    <w:multiLevelType w:val="hybridMultilevel"/>
    <w:tmpl w:val="52620150"/>
    <w:lvl w:ilvl="0" w:tplc="0409000F">
      <w:start w:val="1"/>
      <w:numFmt w:val="decimal"/>
      <w:lvlText w:val="%1."/>
      <w:lvlJc w:val="left"/>
      <w:pPr>
        <w:ind w:left="360" w:hanging="360"/>
      </w:pPr>
      <w:rPr>
        <w:rFonts w:hint="default"/>
      </w:rPr>
    </w:lvl>
    <w:lvl w:ilvl="1" w:tplc="040C0019">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11">
    <w:nsid w:val="253A679C"/>
    <w:multiLevelType w:val="hybridMultilevel"/>
    <w:tmpl w:val="80EAF296"/>
    <w:lvl w:ilvl="0" w:tplc="12F4766E">
      <w:start w:val="1"/>
      <w:numFmt w:val="bullet"/>
      <w:lvlText w:val=""/>
      <w:lvlJc w:val="left"/>
      <w:pPr>
        <w:ind w:left="501" w:hanging="360"/>
      </w:pPr>
      <w:rPr>
        <w:rFonts w:ascii="Symbol" w:hAnsi="Symbol" w:hint="default"/>
        <w:lang w:val="en-GB"/>
      </w:rPr>
    </w:lvl>
    <w:lvl w:ilvl="1" w:tplc="180A0003" w:tentative="1">
      <w:start w:val="1"/>
      <w:numFmt w:val="bullet"/>
      <w:lvlText w:val="o"/>
      <w:lvlJc w:val="left"/>
      <w:pPr>
        <w:ind w:left="1221" w:hanging="360"/>
      </w:pPr>
      <w:rPr>
        <w:rFonts w:ascii="Courier New" w:hAnsi="Courier New" w:cs="Courier New" w:hint="default"/>
      </w:rPr>
    </w:lvl>
    <w:lvl w:ilvl="2" w:tplc="180A0005" w:tentative="1">
      <w:start w:val="1"/>
      <w:numFmt w:val="bullet"/>
      <w:lvlText w:val=""/>
      <w:lvlJc w:val="left"/>
      <w:pPr>
        <w:ind w:left="1941" w:hanging="360"/>
      </w:pPr>
      <w:rPr>
        <w:rFonts w:ascii="Wingdings" w:hAnsi="Wingdings" w:hint="default"/>
      </w:rPr>
    </w:lvl>
    <w:lvl w:ilvl="3" w:tplc="180A0001" w:tentative="1">
      <w:start w:val="1"/>
      <w:numFmt w:val="bullet"/>
      <w:lvlText w:val=""/>
      <w:lvlJc w:val="left"/>
      <w:pPr>
        <w:ind w:left="2661" w:hanging="360"/>
      </w:pPr>
      <w:rPr>
        <w:rFonts w:ascii="Symbol" w:hAnsi="Symbol" w:hint="default"/>
      </w:rPr>
    </w:lvl>
    <w:lvl w:ilvl="4" w:tplc="180A0003" w:tentative="1">
      <w:start w:val="1"/>
      <w:numFmt w:val="bullet"/>
      <w:lvlText w:val="o"/>
      <w:lvlJc w:val="left"/>
      <w:pPr>
        <w:ind w:left="3381" w:hanging="360"/>
      </w:pPr>
      <w:rPr>
        <w:rFonts w:ascii="Courier New" w:hAnsi="Courier New" w:cs="Courier New" w:hint="default"/>
      </w:rPr>
    </w:lvl>
    <w:lvl w:ilvl="5" w:tplc="180A0005" w:tentative="1">
      <w:start w:val="1"/>
      <w:numFmt w:val="bullet"/>
      <w:lvlText w:val=""/>
      <w:lvlJc w:val="left"/>
      <w:pPr>
        <w:ind w:left="4101" w:hanging="360"/>
      </w:pPr>
      <w:rPr>
        <w:rFonts w:ascii="Wingdings" w:hAnsi="Wingdings" w:hint="default"/>
      </w:rPr>
    </w:lvl>
    <w:lvl w:ilvl="6" w:tplc="180A0001" w:tentative="1">
      <w:start w:val="1"/>
      <w:numFmt w:val="bullet"/>
      <w:lvlText w:val=""/>
      <w:lvlJc w:val="left"/>
      <w:pPr>
        <w:ind w:left="4821" w:hanging="360"/>
      </w:pPr>
      <w:rPr>
        <w:rFonts w:ascii="Symbol" w:hAnsi="Symbol" w:hint="default"/>
      </w:rPr>
    </w:lvl>
    <w:lvl w:ilvl="7" w:tplc="180A0003" w:tentative="1">
      <w:start w:val="1"/>
      <w:numFmt w:val="bullet"/>
      <w:lvlText w:val="o"/>
      <w:lvlJc w:val="left"/>
      <w:pPr>
        <w:ind w:left="5541" w:hanging="360"/>
      </w:pPr>
      <w:rPr>
        <w:rFonts w:ascii="Courier New" w:hAnsi="Courier New" w:cs="Courier New" w:hint="default"/>
      </w:rPr>
    </w:lvl>
    <w:lvl w:ilvl="8" w:tplc="180A0005" w:tentative="1">
      <w:start w:val="1"/>
      <w:numFmt w:val="bullet"/>
      <w:lvlText w:val=""/>
      <w:lvlJc w:val="left"/>
      <w:pPr>
        <w:ind w:left="6261" w:hanging="360"/>
      </w:pPr>
      <w:rPr>
        <w:rFonts w:ascii="Wingdings" w:hAnsi="Wingdings" w:hint="default"/>
      </w:rPr>
    </w:lvl>
  </w:abstractNum>
  <w:abstractNum w:abstractNumId="12">
    <w:nsid w:val="32F238E0"/>
    <w:multiLevelType w:val="hybridMultilevel"/>
    <w:tmpl w:val="5BF08610"/>
    <w:lvl w:ilvl="0" w:tplc="BC627BA8">
      <w:start w:val="1"/>
      <w:numFmt w:val="bullet"/>
      <w:pStyle w:val="ListParagraph"/>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C24C61"/>
    <w:multiLevelType w:val="hybridMultilevel"/>
    <w:tmpl w:val="44B89E98"/>
    <w:lvl w:ilvl="0" w:tplc="A2287CB8">
      <w:start w:val="1"/>
      <w:numFmt w:val="decimal"/>
      <w:pStyle w:val="Numberedparas"/>
      <w:lvlText w:val="%1."/>
      <w:lvlJc w:val="left"/>
      <w:pPr>
        <w:tabs>
          <w:tab w:val="num" w:pos="0"/>
        </w:tabs>
      </w:pPr>
      <w:rPr>
        <w:rFonts w:cs="Times New Roman" w:hint="default"/>
      </w:rPr>
    </w:lvl>
    <w:lvl w:ilvl="1" w:tplc="FDE4CF2C">
      <w:start w:val="1"/>
      <w:numFmt w:val="bullet"/>
      <w:pStyle w:val="StyleBulleted"/>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B062150"/>
    <w:multiLevelType w:val="hybridMultilevel"/>
    <w:tmpl w:val="BA12F478"/>
    <w:lvl w:ilvl="0" w:tplc="5E2AFD2A">
      <w:start w:val="1"/>
      <w:numFmt w:val="decimal"/>
      <w:lvlText w:val="%1."/>
      <w:lvlJc w:val="left"/>
      <w:pPr>
        <w:ind w:left="-179" w:hanging="360"/>
      </w:pPr>
      <w:rPr>
        <w:rFonts w:hint="default"/>
      </w:rPr>
    </w:lvl>
    <w:lvl w:ilvl="1" w:tplc="04090019" w:tentative="1">
      <w:start w:val="1"/>
      <w:numFmt w:val="lowerLetter"/>
      <w:lvlText w:val="%2."/>
      <w:lvlJc w:val="left"/>
      <w:pPr>
        <w:ind w:left="541" w:hanging="360"/>
      </w:pPr>
    </w:lvl>
    <w:lvl w:ilvl="2" w:tplc="0409001B" w:tentative="1">
      <w:start w:val="1"/>
      <w:numFmt w:val="lowerRoman"/>
      <w:lvlText w:val="%3."/>
      <w:lvlJc w:val="right"/>
      <w:pPr>
        <w:ind w:left="1261" w:hanging="180"/>
      </w:pPr>
    </w:lvl>
    <w:lvl w:ilvl="3" w:tplc="0409000F" w:tentative="1">
      <w:start w:val="1"/>
      <w:numFmt w:val="decimal"/>
      <w:lvlText w:val="%4."/>
      <w:lvlJc w:val="left"/>
      <w:pPr>
        <w:ind w:left="1981" w:hanging="360"/>
      </w:pPr>
    </w:lvl>
    <w:lvl w:ilvl="4" w:tplc="04090019" w:tentative="1">
      <w:start w:val="1"/>
      <w:numFmt w:val="lowerLetter"/>
      <w:lvlText w:val="%5."/>
      <w:lvlJc w:val="left"/>
      <w:pPr>
        <w:ind w:left="2701" w:hanging="360"/>
      </w:pPr>
    </w:lvl>
    <w:lvl w:ilvl="5" w:tplc="0409001B" w:tentative="1">
      <w:start w:val="1"/>
      <w:numFmt w:val="lowerRoman"/>
      <w:lvlText w:val="%6."/>
      <w:lvlJc w:val="right"/>
      <w:pPr>
        <w:ind w:left="3421" w:hanging="180"/>
      </w:pPr>
    </w:lvl>
    <w:lvl w:ilvl="6" w:tplc="0409000F" w:tentative="1">
      <w:start w:val="1"/>
      <w:numFmt w:val="decimal"/>
      <w:lvlText w:val="%7."/>
      <w:lvlJc w:val="left"/>
      <w:pPr>
        <w:ind w:left="4141" w:hanging="360"/>
      </w:pPr>
    </w:lvl>
    <w:lvl w:ilvl="7" w:tplc="04090019" w:tentative="1">
      <w:start w:val="1"/>
      <w:numFmt w:val="lowerLetter"/>
      <w:lvlText w:val="%8."/>
      <w:lvlJc w:val="left"/>
      <w:pPr>
        <w:ind w:left="4861" w:hanging="360"/>
      </w:pPr>
    </w:lvl>
    <w:lvl w:ilvl="8" w:tplc="0409001B" w:tentative="1">
      <w:start w:val="1"/>
      <w:numFmt w:val="lowerRoman"/>
      <w:lvlText w:val="%9."/>
      <w:lvlJc w:val="right"/>
      <w:pPr>
        <w:ind w:left="5581" w:hanging="180"/>
      </w:pPr>
    </w:lvl>
  </w:abstractNum>
  <w:abstractNum w:abstractNumId="15">
    <w:nsid w:val="3FC05F67"/>
    <w:multiLevelType w:val="hybridMultilevel"/>
    <w:tmpl w:val="DA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E0386A"/>
    <w:multiLevelType w:val="hybridMultilevel"/>
    <w:tmpl w:val="CECA9D9E"/>
    <w:lvl w:ilvl="0" w:tplc="0409000F">
      <w:start w:val="1"/>
      <w:numFmt w:val="decimal"/>
      <w:lvlText w:val="%1."/>
      <w:lvlJc w:val="left"/>
      <w:pPr>
        <w:ind w:left="360" w:hanging="360"/>
      </w:pPr>
      <w:rPr>
        <w:rFonts w:hint="default"/>
      </w:rPr>
    </w:lvl>
    <w:lvl w:ilvl="1" w:tplc="040C0019">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17">
    <w:nsid w:val="402926D8"/>
    <w:multiLevelType w:val="hybridMultilevel"/>
    <w:tmpl w:val="D5EA3488"/>
    <w:lvl w:ilvl="0" w:tplc="0409000F">
      <w:start w:val="1"/>
      <w:numFmt w:val="decimal"/>
      <w:lvlText w:val="%1."/>
      <w:lvlJc w:val="left"/>
      <w:pPr>
        <w:ind w:left="360" w:hanging="360"/>
      </w:pPr>
      <w:rPr>
        <w:rFonts w:hint="default"/>
      </w:rPr>
    </w:lvl>
    <w:lvl w:ilvl="1" w:tplc="040C0019">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18">
    <w:nsid w:val="428F2AC0"/>
    <w:multiLevelType w:val="hybridMultilevel"/>
    <w:tmpl w:val="9B1E5E1C"/>
    <w:lvl w:ilvl="0" w:tplc="E498345C">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44430C7A"/>
    <w:multiLevelType w:val="hybridMultilevel"/>
    <w:tmpl w:val="2C6A2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0D1AAB"/>
    <w:multiLevelType w:val="multilevel"/>
    <w:tmpl w:val="A0D2F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46877B27"/>
    <w:multiLevelType w:val="hybridMultilevel"/>
    <w:tmpl w:val="CBD2C76C"/>
    <w:lvl w:ilvl="0" w:tplc="2910CFB2">
      <w:start w:val="1"/>
      <w:numFmt w:val="decimal"/>
      <w:pStyle w:val="NumberedParas0"/>
      <w:lvlText w:val="%1."/>
      <w:lvlJc w:val="left"/>
      <w:pPr>
        <w:ind w:left="360" w:hanging="360"/>
      </w:pPr>
      <w:rPr>
        <w:rFonts w:ascii="Times New Roman" w:hAnsi="Times New Roman" w:hint="default"/>
        <w:b w:val="0"/>
        <w:i w:val="0"/>
        <w:caps w:val="0"/>
        <w:strike w:val="0"/>
        <w:dstrike w:val="0"/>
        <w:vanish w:val="0"/>
        <w:color w:val="auto"/>
        <w:sz w:val="24"/>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2C7BDA"/>
    <w:multiLevelType w:val="hybridMultilevel"/>
    <w:tmpl w:val="219E0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CE2CC7"/>
    <w:multiLevelType w:val="hybridMultilevel"/>
    <w:tmpl w:val="2E827FA2"/>
    <w:lvl w:ilvl="0" w:tplc="98EAB1D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F3B2CE9"/>
    <w:multiLevelType w:val="hybridMultilevel"/>
    <w:tmpl w:val="CECA9D9E"/>
    <w:lvl w:ilvl="0" w:tplc="0409000F">
      <w:start w:val="1"/>
      <w:numFmt w:val="decimal"/>
      <w:lvlText w:val="%1."/>
      <w:lvlJc w:val="left"/>
      <w:pPr>
        <w:ind w:left="360" w:hanging="360"/>
      </w:pPr>
      <w:rPr>
        <w:rFonts w:hint="default"/>
      </w:rPr>
    </w:lvl>
    <w:lvl w:ilvl="1" w:tplc="040C0019">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25">
    <w:nsid w:val="63975645"/>
    <w:multiLevelType w:val="hybridMultilevel"/>
    <w:tmpl w:val="527AAC2E"/>
    <w:lvl w:ilvl="0" w:tplc="7122932C">
      <w:start w:val="1"/>
      <w:numFmt w:val="lowerLetter"/>
      <w:lvlText w:val="(%1)"/>
      <w:lvlJc w:val="left"/>
      <w:pPr>
        <w:tabs>
          <w:tab w:val="num" w:pos="915"/>
        </w:tabs>
        <w:ind w:left="915" w:hanging="555"/>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4C34F44"/>
    <w:multiLevelType w:val="hybridMultilevel"/>
    <w:tmpl w:val="5BC4EF76"/>
    <w:lvl w:ilvl="0" w:tplc="0409000F">
      <w:start w:val="1"/>
      <w:numFmt w:val="decimal"/>
      <w:lvlText w:val="%1."/>
      <w:lvlJc w:val="left"/>
      <w:pPr>
        <w:ind w:left="360" w:hanging="360"/>
      </w:pPr>
      <w:rPr>
        <w:rFonts w:hint="default"/>
      </w:rPr>
    </w:lvl>
    <w:lvl w:ilvl="1" w:tplc="040C0019">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27">
    <w:nsid w:val="670865E1"/>
    <w:multiLevelType w:val="hybridMultilevel"/>
    <w:tmpl w:val="AA14604E"/>
    <w:lvl w:ilvl="0" w:tplc="0409000F">
      <w:start w:val="1"/>
      <w:numFmt w:val="decimal"/>
      <w:lvlText w:val="%1."/>
      <w:lvlJc w:val="left"/>
      <w:pPr>
        <w:ind w:left="360" w:hanging="360"/>
      </w:pPr>
      <w:rPr>
        <w:rFonts w:hint="default"/>
      </w:rPr>
    </w:lvl>
    <w:lvl w:ilvl="1" w:tplc="040C0019">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28">
    <w:nsid w:val="73803A0A"/>
    <w:multiLevelType w:val="hybridMultilevel"/>
    <w:tmpl w:val="D0504076"/>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900"/>
        </w:tabs>
        <w:ind w:left="900" w:hanging="360"/>
      </w:pPr>
      <w:rPr>
        <w:rFonts w:ascii="Symbol" w:hAnsi="Symbol" w:hint="default"/>
      </w:rPr>
    </w:lvl>
    <w:lvl w:ilvl="2" w:tplc="FFFFFFFF">
      <w:start w:val="1"/>
      <w:numFmt w:val="bullet"/>
      <w:lvlText w:val=""/>
      <w:lvlJc w:val="left"/>
      <w:pPr>
        <w:tabs>
          <w:tab w:val="num" w:pos="1440"/>
        </w:tabs>
        <w:ind w:left="144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5"/>
  </w:num>
  <w:num w:numId="4">
    <w:abstractNumId w:val="18"/>
  </w:num>
  <w:num w:numId="5">
    <w:abstractNumId w:val="21"/>
  </w:num>
  <w:num w:numId="6">
    <w:abstractNumId w:val="28"/>
  </w:num>
  <w:num w:numId="7">
    <w:abstractNumId w:val="25"/>
  </w:num>
  <w:num w:numId="8">
    <w:abstractNumId w:val="19"/>
  </w:num>
  <w:num w:numId="9">
    <w:abstractNumId w:val="13"/>
  </w:num>
  <w:num w:numId="10">
    <w:abstractNumId w:val="10"/>
  </w:num>
  <w:num w:numId="11">
    <w:abstractNumId w:val="3"/>
  </w:num>
  <w:num w:numId="12">
    <w:abstractNumId w:val="9"/>
  </w:num>
  <w:num w:numId="13">
    <w:abstractNumId w:val="24"/>
  </w:num>
  <w:num w:numId="14">
    <w:abstractNumId w:val="7"/>
  </w:num>
  <w:num w:numId="15">
    <w:abstractNumId w:val="14"/>
  </w:num>
  <w:num w:numId="16">
    <w:abstractNumId w:val="16"/>
  </w:num>
  <w:num w:numId="17">
    <w:abstractNumId w:val="26"/>
  </w:num>
  <w:num w:numId="18">
    <w:abstractNumId w:val="27"/>
  </w:num>
  <w:num w:numId="19">
    <w:abstractNumId w:val="17"/>
  </w:num>
  <w:num w:numId="20">
    <w:abstractNumId w:val="11"/>
  </w:num>
  <w:num w:numId="21">
    <w:abstractNumId w:val="4"/>
  </w:num>
  <w:num w:numId="22">
    <w:abstractNumId w:val="2"/>
  </w:num>
  <w:num w:numId="23">
    <w:abstractNumId w:val="20"/>
  </w:num>
  <w:num w:numId="24">
    <w:abstractNumId w:val="22"/>
  </w:num>
  <w:num w:numId="25">
    <w:abstractNumId w:val="5"/>
  </w:num>
  <w:num w:numId="26">
    <w:abstractNumId w:val="23"/>
  </w:num>
  <w:num w:numId="27">
    <w:abstractNumId w:val="12"/>
  </w:num>
  <w:num w:numId="2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97"/>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1415"/>
    <w:rsid w:val="0000045B"/>
    <w:rsid w:val="00000DC8"/>
    <w:rsid w:val="00000E75"/>
    <w:rsid w:val="0000153B"/>
    <w:rsid w:val="00001540"/>
    <w:rsid w:val="0000186A"/>
    <w:rsid w:val="0000198C"/>
    <w:rsid w:val="00001C88"/>
    <w:rsid w:val="00002236"/>
    <w:rsid w:val="00003148"/>
    <w:rsid w:val="000038F8"/>
    <w:rsid w:val="0000508D"/>
    <w:rsid w:val="000053EF"/>
    <w:rsid w:val="0000571A"/>
    <w:rsid w:val="00006983"/>
    <w:rsid w:val="00007C15"/>
    <w:rsid w:val="00007E9E"/>
    <w:rsid w:val="000100BF"/>
    <w:rsid w:val="0001031C"/>
    <w:rsid w:val="00010811"/>
    <w:rsid w:val="000108DE"/>
    <w:rsid w:val="00010ACE"/>
    <w:rsid w:val="0001151E"/>
    <w:rsid w:val="0001179E"/>
    <w:rsid w:val="00011ECA"/>
    <w:rsid w:val="00012ABB"/>
    <w:rsid w:val="00014177"/>
    <w:rsid w:val="000142F3"/>
    <w:rsid w:val="000158F5"/>
    <w:rsid w:val="000172AF"/>
    <w:rsid w:val="00020C48"/>
    <w:rsid w:val="00020CDE"/>
    <w:rsid w:val="00021387"/>
    <w:rsid w:val="000213E7"/>
    <w:rsid w:val="00021667"/>
    <w:rsid w:val="000241CA"/>
    <w:rsid w:val="00024610"/>
    <w:rsid w:val="00024E6A"/>
    <w:rsid w:val="00025112"/>
    <w:rsid w:val="00025D2A"/>
    <w:rsid w:val="00026FDD"/>
    <w:rsid w:val="00027012"/>
    <w:rsid w:val="00030190"/>
    <w:rsid w:val="00030D12"/>
    <w:rsid w:val="0003153E"/>
    <w:rsid w:val="000318E7"/>
    <w:rsid w:val="00031BC5"/>
    <w:rsid w:val="000324A1"/>
    <w:rsid w:val="00032BAF"/>
    <w:rsid w:val="00033557"/>
    <w:rsid w:val="00033A4B"/>
    <w:rsid w:val="0003453C"/>
    <w:rsid w:val="00034739"/>
    <w:rsid w:val="0003477D"/>
    <w:rsid w:val="0003527B"/>
    <w:rsid w:val="00035D06"/>
    <w:rsid w:val="0003728F"/>
    <w:rsid w:val="00037D23"/>
    <w:rsid w:val="00040D76"/>
    <w:rsid w:val="00041A99"/>
    <w:rsid w:val="00041C32"/>
    <w:rsid w:val="00042D17"/>
    <w:rsid w:val="00043CC3"/>
    <w:rsid w:val="00044677"/>
    <w:rsid w:val="000448EF"/>
    <w:rsid w:val="0004518F"/>
    <w:rsid w:val="00046C25"/>
    <w:rsid w:val="000478F8"/>
    <w:rsid w:val="0004799B"/>
    <w:rsid w:val="00050786"/>
    <w:rsid w:val="00050D62"/>
    <w:rsid w:val="00050DFB"/>
    <w:rsid w:val="0005145D"/>
    <w:rsid w:val="0005231D"/>
    <w:rsid w:val="00053B27"/>
    <w:rsid w:val="00054155"/>
    <w:rsid w:val="00054171"/>
    <w:rsid w:val="000556A2"/>
    <w:rsid w:val="00055727"/>
    <w:rsid w:val="000559CB"/>
    <w:rsid w:val="00055E70"/>
    <w:rsid w:val="000573D9"/>
    <w:rsid w:val="00060CFC"/>
    <w:rsid w:val="00060E14"/>
    <w:rsid w:val="00061C8C"/>
    <w:rsid w:val="00061D0D"/>
    <w:rsid w:val="000627B3"/>
    <w:rsid w:val="00062EF1"/>
    <w:rsid w:val="000630F5"/>
    <w:rsid w:val="0006383D"/>
    <w:rsid w:val="00063935"/>
    <w:rsid w:val="00063A98"/>
    <w:rsid w:val="00064ABC"/>
    <w:rsid w:val="000651B8"/>
    <w:rsid w:val="000651D1"/>
    <w:rsid w:val="00065585"/>
    <w:rsid w:val="000657C9"/>
    <w:rsid w:val="000659BF"/>
    <w:rsid w:val="00065F6A"/>
    <w:rsid w:val="000660E4"/>
    <w:rsid w:val="0006752B"/>
    <w:rsid w:val="00067679"/>
    <w:rsid w:val="00067B1F"/>
    <w:rsid w:val="00070658"/>
    <w:rsid w:val="0007065F"/>
    <w:rsid w:val="000707D7"/>
    <w:rsid w:val="00071429"/>
    <w:rsid w:val="000716A3"/>
    <w:rsid w:val="00072172"/>
    <w:rsid w:val="00072511"/>
    <w:rsid w:val="00072A20"/>
    <w:rsid w:val="00073384"/>
    <w:rsid w:val="000738DC"/>
    <w:rsid w:val="00074728"/>
    <w:rsid w:val="00075E3C"/>
    <w:rsid w:val="00076191"/>
    <w:rsid w:val="00076FCB"/>
    <w:rsid w:val="00081C7F"/>
    <w:rsid w:val="00082789"/>
    <w:rsid w:val="000833C9"/>
    <w:rsid w:val="00084D5A"/>
    <w:rsid w:val="00085407"/>
    <w:rsid w:val="000859A9"/>
    <w:rsid w:val="000859FC"/>
    <w:rsid w:val="000863F2"/>
    <w:rsid w:val="00086D14"/>
    <w:rsid w:val="00087AFE"/>
    <w:rsid w:val="00087D0D"/>
    <w:rsid w:val="000901DB"/>
    <w:rsid w:val="00091075"/>
    <w:rsid w:val="00091470"/>
    <w:rsid w:val="00091570"/>
    <w:rsid w:val="00091CC9"/>
    <w:rsid w:val="00091E89"/>
    <w:rsid w:val="000927F8"/>
    <w:rsid w:val="00092816"/>
    <w:rsid w:val="0009289B"/>
    <w:rsid w:val="00092D44"/>
    <w:rsid w:val="000932E9"/>
    <w:rsid w:val="000934B9"/>
    <w:rsid w:val="0009489C"/>
    <w:rsid w:val="00095527"/>
    <w:rsid w:val="0009572F"/>
    <w:rsid w:val="00095B57"/>
    <w:rsid w:val="000961E1"/>
    <w:rsid w:val="0009631C"/>
    <w:rsid w:val="00096393"/>
    <w:rsid w:val="0009716D"/>
    <w:rsid w:val="00097611"/>
    <w:rsid w:val="00097715"/>
    <w:rsid w:val="00097E08"/>
    <w:rsid w:val="00097FDB"/>
    <w:rsid w:val="000A075B"/>
    <w:rsid w:val="000A1456"/>
    <w:rsid w:val="000A1BC8"/>
    <w:rsid w:val="000A24E2"/>
    <w:rsid w:val="000A32EC"/>
    <w:rsid w:val="000A3560"/>
    <w:rsid w:val="000A3EEE"/>
    <w:rsid w:val="000A41F3"/>
    <w:rsid w:val="000A4BA2"/>
    <w:rsid w:val="000A5190"/>
    <w:rsid w:val="000A5E53"/>
    <w:rsid w:val="000A5F4A"/>
    <w:rsid w:val="000A69D0"/>
    <w:rsid w:val="000A6C92"/>
    <w:rsid w:val="000A6C97"/>
    <w:rsid w:val="000A7217"/>
    <w:rsid w:val="000A78BA"/>
    <w:rsid w:val="000B01AE"/>
    <w:rsid w:val="000B0DD8"/>
    <w:rsid w:val="000B1255"/>
    <w:rsid w:val="000B13C8"/>
    <w:rsid w:val="000B1C04"/>
    <w:rsid w:val="000B1EF6"/>
    <w:rsid w:val="000B2094"/>
    <w:rsid w:val="000B22DF"/>
    <w:rsid w:val="000B464E"/>
    <w:rsid w:val="000B4CD3"/>
    <w:rsid w:val="000B558F"/>
    <w:rsid w:val="000B5618"/>
    <w:rsid w:val="000B62E1"/>
    <w:rsid w:val="000B6878"/>
    <w:rsid w:val="000B6B36"/>
    <w:rsid w:val="000B7C74"/>
    <w:rsid w:val="000B7D22"/>
    <w:rsid w:val="000B7D2E"/>
    <w:rsid w:val="000C0B1A"/>
    <w:rsid w:val="000C19AB"/>
    <w:rsid w:val="000C2D8F"/>
    <w:rsid w:val="000C30E3"/>
    <w:rsid w:val="000C36CD"/>
    <w:rsid w:val="000C5EA9"/>
    <w:rsid w:val="000C5EBD"/>
    <w:rsid w:val="000C6AF7"/>
    <w:rsid w:val="000C779A"/>
    <w:rsid w:val="000C7928"/>
    <w:rsid w:val="000D0356"/>
    <w:rsid w:val="000D04CC"/>
    <w:rsid w:val="000D04D5"/>
    <w:rsid w:val="000D0D49"/>
    <w:rsid w:val="000D0D55"/>
    <w:rsid w:val="000D0E24"/>
    <w:rsid w:val="000D14DB"/>
    <w:rsid w:val="000D27B6"/>
    <w:rsid w:val="000D2864"/>
    <w:rsid w:val="000D55DB"/>
    <w:rsid w:val="000D58C6"/>
    <w:rsid w:val="000D5DB9"/>
    <w:rsid w:val="000D6B5C"/>
    <w:rsid w:val="000D73A1"/>
    <w:rsid w:val="000D7B09"/>
    <w:rsid w:val="000E056D"/>
    <w:rsid w:val="000E0D86"/>
    <w:rsid w:val="000E109F"/>
    <w:rsid w:val="000E1926"/>
    <w:rsid w:val="000E19A0"/>
    <w:rsid w:val="000E1E56"/>
    <w:rsid w:val="000E2F64"/>
    <w:rsid w:val="000E33F0"/>
    <w:rsid w:val="000E358B"/>
    <w:rsid w:val="000E35C5"/>
    <w:rsid w:val="000E419D"/>
    <w:rsid w:val="000E4612"/>
    <w:rsid w:val="000E4888"/>
    <w:rsid w:val="000E58F5"/>
    <w:rsid w:val="000E617E"/>
    <w:rsid w:val="000E625C"/>
    <w:rsid w:val="000E7308"/>
    <w:rsid w:val="000E79F7"/>
    <w:rsid w:val="000E7A60"/>
    <w:rsid w:val="000E7F05"/>
    <w:rsid w:val="000F0242"/>
    <w:rsid w:val="000F1E45"/>
    <w:rsid w:val="000F1FF6"/>
    <w:rsid w:val="000F2A8F"/>
    <w:rsid w:val="000F2E51"/>
    <w:rsid w:val="000F36DE"/>
    <w:rsid w:val="000F52DF"/>
    <w:rsid w:val="000F554C"/>
    <w:rsid w:val="000F6066"/>
    <w:rsid w:val="000F71B0"/>
    <w:rsid w:val="000F7890"/>
    <w:rsid w:val="00100487"/>
    <w:rsid w:val="001006CB"/>
    <w:rsid w:val="00101981"/>
    <w:rsid w:val="00102569"/>
    <w:rsid w:val="00102A32"/>
    <w:rsid w:val="00103620"/>
    <w:rsid w:val="00103647"/>
    <w:rsid w:val="00104656"/>
    <w:rsid w:val="0010562A"/>
    <w:rsid w:val="0010567F"/>
    <w:rsid w:val="001062AA"/>
    <w:rsid w:val="00106305"/>
    <w:rsid w:val="00106891"/>
    <w:rsid w:val="001072F7"/>
    <w:rsid w:val="00107376"/>
    <w:rsid w:val="0010759A"/>
    <w:rsid w:val="00110314"/>
    <w:rsid w:val="00110321"/>
    <w:rsid w:val="00110433"/>
    <w:rsid w:val="001122E9"/>
    <w:rsid w:val="001125BF"/>
    <w:rsid w:val="00112A0E"/>
    <w:rsid w:val="00112BFD"/>
    <w:rsid w:val="00112DE3"/>
    <w:rsid w:val="00112E4B"/>
    <w:rsid w:val="001131DD"/>
    <w:rsid w:val="001132D4"/>
    <w:rsid w:val="001144D8"/>
    <w:rsid w:val="00114689"/>
    <w:rsid w:val="0011517B"/>
    <w:rsid w:val="00115588"/>
    <w:rsid w:val="00115A42"/>
    <w:rsid w:val="00115A6E"/>
    <w:rsid w:val="00116514"/>
    <w:rsid w:val="001167DC"/>
    <w:rsid w:val="00117115"/>
    <w:rsid w:val="001179A3"/>
    <w:rsid w:val="001179BD"/>
    <w:rsid w:val="001200FA"/>
    <w:rsid w:val="0012189E"/>
    <w:rsid w:val="001219B1"/>
    <w:rsid w:val="00121FA3"/>
    <w:rsid w:val="00122CB5"/>
    <w:rsid w:val="00123223"/>
    <w:rsid w:val="00123DCE"/>
    <w:rsid w:val="00123E23"/>
    <w:rsid w:val="00124E06"/>
    <w:rsid w:val="00125294"/>
    <w:rsid w:val="0012641D"/>
    <w:rsid w:val="001277FE"/>
    <w:rsid w:val="00127D2D"/>
    <w:rsid w:val="00130F18"/>
    <w:rsid w:val="00131073"/>
    <w:rsid w:val="001311CA"/>
    <w:rsid w:val="00131420"/>
    <w:rsid w:val="00132707"/>
    <w:rsid w:val="001336BE"/>
    <w:rsid w:val="001338CA"/>
    <w:rsid w:val="001341E6"/>
    <w:rsid w:val="00134477"/>
    <w:rsid w:val="001351B8"/>
    <w:rsid w:val="00135456"/>
    <w:rsid w:val="00135A66"/>
    <w:rsid w:val="00135CB3"/>
    <w:rsid w:val="001365E8"/>
    <w:rsid w:val="0013767F"/>
    <w:rsid w:val="00140549"/>
    <w:rsid w:val="00140787"/>
    <w:rsid w:val="0014092F"/>
    <w:rsid w:val="001411B6"/>
    <w:rsid w:val="00141F48"/>
    <w:rsid w:val="001420C2"/>
    <w:rsid w:val="001428B1"/>
    <w:rsid w:val="00142B7C"/>
    <w:rsid w:val="00143522"/>
    <w:rsid w:val="0014385F"/>
    <w:rsid w:val="00143997"/>
    <w:rsid w:val="001469A4"/>
    <w:rsid w:val="00147934"/>
    <w:rsid w:val="00150F18"/>
    <w:rsid w:val="00151844"/>
    <w:rsid w:val="00151C05"/>
    <w:rsid w:val="00152098"/>
    <w:rsid w:val="00152397"/>
    <w:rsid w:val="00152869"/>
    <w:rsid w:val="00153C62"/>
    <w:rsid w:val="00154182"/>
    <w:rsid w:val="00154A18"/>
    <w:rsid w:val="00155DA7"/>
    <w:rsid w:val="001567E4"/>
    <w:rsid w:val="00156962"/>
    <w:rsid w:val="00156E11"/>
    <w:rsid w:val="00156FDD"/>
    <w:rsid w:val="00157628"/>
    <w:rsid w:val="0016176E"/>
    <w:rsid w:val="00161EF2"/>
    <w:rsid w:val="00163831"/>
    <w:rsid w:val="0016500E"/>
    <w:rsid w:val="001657B9"/>
    <w:rsid w:val="001658CB"/>
    <w:rsid w:val="00166A84"/>
    <w:rsid w:val="00166C8E"/>
    <w:rsid w:val="0016701E"/>
    <w:rsid w:val="00167289"/>
    <w:rsid w:val="00167329"/>
    <w:rsid w:val="001677EF"/>
    <w:rsid w:val="00167A53"/>
    <w:rsid w:val="0017027C"/>
    <w:rsid w:val="00170841"/>
    <w:rsid w:val="00170E90"/>
    <w:rsid w:val="001714FE"/>
    <w:rsid w:val="00172639"/>
    <w:rsid w:val="00173242"/>
    <w:rsid w:val="00174075"/>
    <w:rsid w:val="00174DA4"/>
    <w:rsid w:val="00174FF8"/>
    <w:rsid w:val="001753F7"/>
    <w:rsid w:val="00175A71"/>
    <w:rsid w:val="00175A9F"/>
    <w:rsid w:val="00176114"/>
    <w:rsid w:val="00176134"/>
    <w:rsid w:val="00177611"/>
    <w:rsid w:val="00177CBB"/>
    <w:rsid w:val="00180144"/>
    <w:rsid w:val="0018053B"/>
    <w:rsid w:val="00180DC3"/>
    <w:rsid w:val="00181537"/>
    <w:rsid w:val="00183E2F"/>
    <w:rsid w:val="00184354"/>
    <w:rsid w:val="0018449B"/>
    <w:rsid w:val="00184A13"/>
    <w:rsid w:val="0018612B"/>
    <w:rsid w:val="00186780"/>
    <w:rsid w:val="00187305"/>
    <w:rsid w:val="001876E4"/>
    <w:rsid w:val="00187950"/>
    <w:rsid w:val="00187F4F"/>
    <w:rsid w:val="001903C1"/>
    <w:rsid w:val="00190E85"/>
    <w:rsid w:val="00191478"/>
    <w:rsid w:val="00191A84"/>
    <w:rsid w:val="00192125"/>
    <w:rsid w:val="001921B5"/>
    <w:rsid w:val="001923DE"/>
    <w:rsid w:val="0019324D"/>
    <w:rsid w:val="00193EB4"/>
    <w:rsid w:val="001940D6"/>
    <w:rsid w:val="001943C6"/>
    <w:rsid w:val="00194450"/>
    <w:rsid w:val="0019499C"/>
    <w:rsid w:val="0019510D"/>
    <w:rsid w:val="00195986"/>
    <w:rsid w:val="0019660B"/>
    <w:rsid w:val="001969D0"/>
    <w:rsid w:val="001A014C"/>
    <w:rsid w:val="001A0258"/>
    <w:rsid w:val="001A030A"/>
    <w:rsid w:val="001A04CA"/>
    <w:rsid w:val="001A0D22"/>
    <w:rsid w:val="001A1BFC"/>
    <w:rsid w:val="001A20B9"/>
    <w:rsid w:val="001A2A18"/>
    <w:rsid w:val="001A2B73"/>
    <w:rsid w:val="001A34A9"/>
    <w:rsid w:val="001A4067"/>
    <w:rsid w:val="001A45FC"/>
    <w:rsid w:val="001A666D"/>
    <w:rsid w:val="001A7F5E"/>
    <w:rsid w:val="001B06BA"/>
    <w:rsid w:val="001B0B99"/>
    <w:rsid w:val="001B1128"/>
    <w:rsid w:val="001B14C4"/>
    <w:rsid w:val="001B1F7D"/>
    <w:rsid w:val="001B1FC5"/>
    <w:rsid w:val="001B4248"/>
    <w:rsid w:val="001B43CD"/>
    <w:rsid w:val="001B459E"/>
    <w:rsid w:val="001B4A4E"/>
    <w:rsid w:val="001B5262"/>
    <w:rsid w:val="001B572F"/>
    <w:rsid w:val="001B5BE3"/>
    <w:rsid w:val="001B662B"/>
    <w:rsid w:val="001B69B0"/>
    <w:rsid w:val="001B70F1"/>
    <w:rsid w:val="001B73C9"/>
    <w:rsid w:val="001B7E5E"/>
    <w:rsid w:val="001C0173"/>
    <w:rsid w:val="001C03A5"/>
    <w:rsid w:val="001C1A9C"/>
    <w:rsid w:val="001C278E"/>
    <w:rsid w:val="001C34E2"/>
    <w:rsid w:val="001C4819"/>
    <w:rsid w:val="001C5B47"/>
    <w:rsid w:val="001C6FE8"/>
    <w:rsid w:val="001C7CDE"/>
    <w:rsid w:val="001D03D3"/>
    <w:rsid w:val="001D0E90"/>
    <w:rsid w:val="001D1305"/>
    <w:rsid w:val="001D238B"/>
    <w:rsid w:val="001D38AA"/>
    <w:rsid w:val="001D49A2"/>
    <w:rsid w:val="001D5009"/>
    <w:rsid w:val="001D5902"/>
    <w:rsid w:val="001D6190"/>
    <w:rsid w:val="001D6FAD"/>
    <w:rsid w:val="001D7BBA"/>
    <w:rsid w:val="001D7E14"/>
    <w:rsid w:val="001E045F"/>
    <w:rsid w:val="001E0565"/>
    <w:rsid w:val="001E0CDA"/>
    <w:rsid w:val="001E0D2B"/>
    <w:rsid w:val="001E2420"/>
    <w:rsid w:val="001E28FC"/>
    <w:rsid w:val="001E3CEF"/>
    <w:rsid w:val="001E4225"/>
    <w:rsid w:val="001E4632"/>
    <w:rsid w:val="001E6542"/>
    <w:rsid w:val="001E7B96"/>
    <w:rsid w:val="001F0415"/>
    <w:rsid w:val="001F1C3F"/>
    <w:rsid w:val="001F1EAD"/>
    <w:rsid w:val="001F1EEC"/>
    <w:rsid w:val="001F235B"/>
    <w:rsid w:val="001F277D"/>
    <w:rsid w:val="001F386A"/>
    <w:rsid w:val="001F3E88"/>
    <w:rsid w:val="001F414C"/>
    <w:rsid w:val="001F4963"/>
    <w:rsid w:val="001F617B"/>
    <w:rsid w:val="001F637A"/>
    <w:rsid w:val="001F6488"/>
    <w:rsid w:val="001F6963"/>
    <w:rsid w:val="001F7237"/>
    <w:rsid w:val="001F7A4C"/>
    <w:rsid w:val="001F7C1B"/>
    <w:rsid w:val="00200130"/>
    <w:rsid w:val="0020090D"/>
    <w:rsid w:val="00200DDE"/>
    <w:rsid w:val="002013BE"/>
    <w:rsid w:val="00201D1B"/>
    <w:rsid w:val="00201EA7"/>
    <w:rsid w:val="00203001"/>
    <w:rsid w:val="00203041"/>
    <w:rsid w:val="00203A9D"/>
    <w:rsid w:val="00203C24"/>
    <w:rsid w:val="0020425A"/>
    <w:rsid w:val="002042FC"/>
    <w:rsid w:val="002049D3"/>
    <w:rsid w:val="00204F11"/>
    <w:rsid w:val="0020502C"/>
    <w:rsid w:val="00205251"/>
    <w:rsid w:val="002052CA"/>
    <w:rsid w:val="00205736"/>
    <w:rsid w:val="00205F9E"/>
    <w:rsid w:val="00206100"/>
    <w:rsid w:val="0020632F"/>
    <w:rsid w:val="0020759B"/>
    <w:rsid w:val="002079D2"/>
    <w:rsid w:val="00207AB4"/>
    <w:rsid w:val="00207C03"/>
    <w:rsid w:val="00207EBB"/>
    <w:rsid w:val="002104F4"/>
    <w:rsid w:val="00210F68"/>
    <w:rsid w:val="0021270E"/>
    <w:rsid w:val="002133DE"/>
    <w:rsid w:val="00213560"/>
    <w:rsid w:val="0021399B"/>
    <w:rsid w:val="00215060"/>
    <w:rsid w:val="0021513E"/>
    <w:rsid w:val="00215B4E"/>
    <w:rsid w:val="0021618B"/>
    <w:rsid w:val="00216CFB"/>
    <w:rsid w:val="00217E98"/>
    <w:rsid w:val="00217F7D"/>
    <w:rsid w:val="00220623"/>
    <w:rsid w:val="00220B82"/>
    <w:rsid w:val="002211BC"/>
    <w:rsid w:val="00221235"/>
    <w:rsid w:val="00222542"/>
    <w:rsid w:val="002226AF"/>
    <w:rsid w:val="002228D1"/>
    <w:rsid w:val="00222B2A"/>
    <w:rsid w:val="0022401E"/>
    <w:rsid w:val="00224133"/>
    <w:rsid w:val="002248DE"/>
    <w:rsid w:val="00224F9C"/>
    <w:rsid w:val="00225638"/>
    <w:rsid w:val="00225811"/>
    <w:rsid w:val="00226307"/>
    <w:rsid w:val="00226C42"/>
    <w:rsid w:val="0022762C"/>
    <w:rsid w:val="0022785F"/>
    <w:rsid w:val="002302DB"/>
    <w:rsid w:val="00230BB9"/>
    <w:rsid w:val="002314DB"/>
    <w:rsid w:val="002319E1"/>
    <w:rsid w:val="00232231"/>
    <w:rsid w:val="00232C90"/>
    <w:rsid w:val="002334D6"/>
    <w:rsid w:val="00233BBF"/>
    <w:rsid w:val="002344D2"/>
    <w:rsid w:val="00234529"/>
    <w:rsid w:val="00234C02"/>
    <w:rsid w:val="00237430"/>
    <w:rsid w:val="00240596"/>
    <w:rsid w:val="0024138C"/>
    <w:rsid w:val="0024234D"/>
    <w:rsid w:val="0024330F"/>
    <w:rsid w:val="002438BA"/>
    <w:rsid w:val="00244600"/>
    <w:rsid w:val="0024473E"/>
    <w:rsid w:val="00246FC9"/>
    <w:rsid w:val="00247909"/>
    <w:rsid w:val="00247EFB"/>
    <w:rsid w:val="002509E3"/>
    <w:rsid w:val="00251DC7"/>
    <w:rsid w:val="002543E8"/>
    <w:rsid w:val="00254555"/>
    <w:rsid w:val="002548B0"/>
    <w:rsid w:val="00254D36"/>
    <w:rsid w:val="00254F6B"/>
    <w:rsid w:val="002551D4"/>
    <w:rsid w:val="002566AA"/>
    <w:rsid w:val="00256B2F"/>
    <w:rsid w:val="00256C9B"/>
    <w:rsid w:val="00260910"/>
    <w:rsid w:val="00260966"/>
    <w:rsid w:val="00261C30"/>
    <w:rsid w:val="00262BAE"/>
    <w:rsid w:val="00262CF6"/>
    <w:rsid w:val="002632D4"/>
    <w:rsid w:val="002636EC"/>
    <w:rsid w:val="0026398B"/>
    <w:rsid w:val="00264387"/>
    <w:rsid w:val="002644DF"/>
    <w:rsid w:val="00264788"/>
    <w:rsid w:val="00264D1B"/>
    <w:rsid w:val="002657B9"/>
    <w:rsid w:val="00265B92"/>
    <w:rsid w:val="00267329"/>
    <w:rsid w:val="00267833"/>
    <w:rsid w:val="00267EC3"/>
    <w:rsid w:val="0027046B"/>
    <w:rsid w:val="002717BE"/>
    <w:rsid w:val="00271893"/>
    <w:rsid w:val="002726D1"/>
    <w:rsid w:val="00272C8A"/>
    <w:rsid w:val="002730AC"/>
    <w:rsid w:val="002737DA"/>
    <w:rsid w:val="0027431E"/>
    <w:rsid w:val="00274766"/>
    <w:rsid w:val="002749AD"/>
    <w:rsid w:val="00275D59"/>
    <w:rsid w:val="00276415"/>
    <w:rsid w:val="00276471"/>
    <w:rsid w:val="00276866"/>
    <w:rsid w:val="00277C15"/>
    <w:rsid w:val="00280AE2"/>
    <w:rsid w:val="00280F0E"/>
    <w:rsid w:val="00281159"/>
    <w:rsid w:val="00281982"/>
    <w:rsid w:val="002826F9"/>
    <w:rsid w:val="00282BC7"/>
    <w:rsid w:val="00283565"/>
    <w:rsid w:val="00283BED"/>
    <w:rsid w:val="00284770"/>
    <w:rsid w:val="002851A0"/>
    <w:rsid w:val="002859A8"/>
    <w:rsid w:val="002859DE"/>
    <w:rsid w:val="002862D3"/>
    <w:rsid w:val="00286438"/>
    <w:rsid w:val="00286C3A"/>
    <w:rsid w:val="00286C45"/>
    <w:rsid w:val="00286E79"/>
    <w:rsid w:val="00287065"/>
    <w:rsid w:val="002900CA"/>
    <w:rsid w:val="00290241"/>
    <w:rsid w:val="0029130E"/>
    <w:rsid w:val="002915AC"/>
    <w:rsid w:val="00291936"/>
    <w:rsid w:val="00291E1C"/>
    <w:rsid w:val="00292090"/>
    <w:rsid w:val="002920EE"/>
    <w:rsid w:val="002922B6"/>
    <w:rsid w:val="002925B1"/>
    <w:rsid w:val="00292B48"/>
    <w:rsid w:val="002934F6"/>
    <w:rsid w:val="00293AAA"/>
    <w:rsid w:val="00293CEB"/>
    <w:rsid w:val="0029432E"/>
    <w:rsid w:val="0029499F"/>
    <w:rsid w:val="002952BC"/>
    <w:rsid w:val="00295789"/>
    <w:rsid w:val="00295E6E"/>
    <w:rsid w:val="0029675C"/>
    <w:rsid w:val="002970A9"/>
    <w:rsid w:val="0029797B"/>
    <w:rsid w:val="002A0791"/>
    <w:rsid w:val="002A2235"/>
    <w:rsid w:val="002A2250"/>
    <w:rsid w:val="002A31DD"/>
    <w:rsid w:val="002A32D9"/>
    <w:rsid w:val="002A3753"/>
    <w:rsid w:val="002A400B"/>
    <w:rsid w:val="002A449F"/>
    <w:rsid w:val="002A4D23"/>
    <w:rsid w:val="002A5151"/>
    <w:rsid w:val="002A587A"/>
    <w:rsid w:val="002A5AC2"/>
    <w:rsid w:val="002A67C5"/>
    <w:rsid w:val="002A707F"/>
    <w:rsid w:val="002A7E4C"/>
    <w:rsid w:val="002B04E5"/>
    <w:rsid w:val="002B0D3D"/>
    <w:rsid w:val="002B1AD1"/>
    <w:rsid w:val="002B1D5E"/>
    <w:rsid w:val="002B2976"/>
    <w:rsid w:val="002B3669"/>
    <w:rsid w:val="002B3837"/>
    <w:rsid w:val="002B38BA"/>
    <w:rsid w:val="002B433C"/>
    <w:rsid w:val="002B546B"/>
    <w:rsid w:val="002B5C2C"/>
    <w:rsid w:val="002B5E37"/>
    <w:rsid w:val="002B6319"/>
    <w:rsid w:val="002B6944"/>
    <w:rsid w:val="002B6B1B"/>
    <w:rsid w:val="002B7025"/>
    <w:rsid w:val="002B77BC"/>
    <w:rsid w:val="002C1CD0"/>
    <w:rsid w:val="002C1FB4"/>
    <w:rsid w:val="002C265E"/>
    <w:rsid w:val="002C2E66"/>
    <w:rsid w:val="002C42BA"/>
    <w:rsid w:val="002C4B0E"/>
    <w:rsid w:val="002C542E"/>
    <w:rsid w:val="002C5BC6"/>
    <w:rsid w:val="002C7CB5"/>
    <w:rsid w:val="002C7CD7"/>
    <w:rsid w:val="002C7D5B"/>
    <w:rsid w:val="002D1407"/>
    <w:rsid w:val="002D16DB"/>
    <w:rsid w:val="002D212B"/>
    <w:rsid w:val="002D2442"/>
    <w:rsid w:val="002D2F2F"/>
    <w:rsid w:val="002D3871"/>
    <w:rsid w:val="002D481E"/>
    <w:rsid w:val="002D4988"/>
    <w:rsid w:val="002D6444"/>
    <w:rsid w:val="002D650A"/>
    <w:rsid w:val="002D65C2"/>
    <w:rsid w:val="002D7463"/>
    <w:rsid w:val="002D7699"/>
    <w:rsid w:val="002D7891"/>
    <w:rsid w:val="002E0622"/>
    <w:rsid w:val="002E10D0"/>
    <w:rsid w:val="002E1680"/>
    <w:rsid w:val="002E29F2"/>
    <w:rsid w:val="002E308E"/>
    <w:rsid w:val="002E32B3"/>
    <w:rsid w:val="002E3577"/>
    <w:rsid w:val="002E3836"/>
    <w:rsid w:val="002E3C76"/>
    <w:rsid w:val="002E42ED"/>
    <w:rsid w:val="002E510D"/>
    <w:rsid w:val="002E5F6E"/>
    <w:rsid w:val="002E655B"/>
    <w:rsid w:val="002E7075"/>
    <w:rsid w:val="002F0425"/>
    <w:rsid w:val="002F0DE6"/>
    <w:rsid w:val="002F1560"/>
    <w:rsid w:val="002F1599"/>
    <w:rsid w:val="002F1E78"/>
    <w:rsid w:val="002F204E"/>
    <w:rsid w:val="002F2D6E"/>
    <w:rsid w:val="002F3B00"/>
    <w:rsid w:val="002F40A1"/>
    <w:rsid w:val="002F4E2D"/>
    <w:rsid w:val="002F5BEB"/>
    <w:rsid w:val="002F75D6"/>
    <w:rsid w:val="002F763B"/>
    <w:rsid w:val="00300BB0"/>
    <w:rsid w:val="00301AF1"/>
    <w:rsid w:val="00301F6F"/>
    <w:rsid w:val="0030212D"/>
    <w:rsid w:val="0030331A"/>
    <w:rsid w:val="003039C6"/>
    <w:rsid w:val="00303EF2"/>
    <w:rsid w:val="0030452C"/>
    <w:rsid w:val="0030453C"/>
    <w:rsid w:val="0030459C"/>
    <w:rsid w:val="0030514F"/>
    <w:rsid w:val="003057C3"/>
    <w:rsid w:val="003062DF"/>
    <w:rsid w:val="003064FA"/>
    <w:rsid w:val="003068AA"/>
    <w:rsid w:val="0030698B"/>
    <w:rsid w:val="00307413"/>
    <w:rsid w:val="00310039"/>
    <w:rsid w:val="003102C3"/>
    <w:rsid w:val="00310F1C"/>
    <w:rsid w:val="00311CFD"/>
    <w:rsid w:val="00312BE2"/>
    <w:rsid w:val="00312C74"/>
    <w:rsid w:val="00314E1D"/>
    <w:rsid w:val="00315511"/>
    <w:rsid w:val="0031579D"/>
    <w:rsid w:val="00315A71"/>
    <w:rsid w:val="00316503"/>
    <w:rsid w:val="00317000"/>
    <w:rsid w:val="0031707C"/>
    <w:rsid w:val="003171E7"/>
    <w:rsid w:val="00317451"/>
    <w:rsid w:val="00320368"/>
    <w:rsid w:val="003211B3"/>
    <w:rsid w:val="00322162"/>
    <w:rsid w:val="0032217B"/>
    <w:rsid w:val="003223CE"/>
    <w:rsid w:val="00323B74"/>
    <w:rsid w:val="003241E6"/>
    <w:rsid w:val="00324743"/>
    <w:rsid w:val="0032484B"/>
    <w:rsid w:val="003249F0"/>
    <w:rsid w:val="00324AC7"/>
    <w:rsid w:val="00324FA0"/>
    <w:rsid w:val="003255BC"/>
    <w:rsid w:val="003256D7"/>
    <w:rsid w:val="00325F61"/>
    <w:rsid w:val="00325FAB"/>
    <w:rsid w:val="003263AD"/>
    <w:rsid w:val="003263CF"/>
    <w:rsid w:val="0032667D"/>
    <w:rsid w:val="00326CAD"/>
    <w:rsid w:val="00326D58"/>
    <w:rsid w:val="003271FE"/>
    <w:rsid w:val="00327380"/>
    <w:rsid w:val="0033058C"/>
    <w:rsid w:val="00330771"/>
    <w:rsid w:val="003315C9"/>
    <w:rsid w:val="0033164E"/>
    <w:rsid w:val="00331B37"/>
    <w:rsid w:val="00333824"/>
    <w:rsid w:val="00334013"/>
    <w:rsid w:val="0033428B"/>
    <w:rsid w:val="00334D4A"/>
    <w:rsid w:val="00335BB8"/>
    <w:rsid w:val="00335E05"/>
    <w:rsid w:val="003363B6"/>
    <w:rsid w:val="003364BB"/>
    <w:rsid w:val="00336A88"/>
    <w:rsid w:val="00336D6B"/>
    <w:rsid w:val="00337340"/>
    <w:rsid w:val="003374DC"/>
    <w:rsid w:val="00337FBA"/>
    <w:rsid w:val="00340288"/>
    <w:rsid w:val="00340691"/>
    <w:rsid w:val="003406E0"/>
    <w:rsid w:val="00340D27"/>
    <w:rsid w:val="003415B9"/>
    <w:rsid w:val="00341D02"/>
    <w:rsid w:val="00342C82"/>
    <w:rsid w:val="00343CD0"/>
    <w:rsid w:val="00343D48"/>
    <w:rsid w:val="00344CA2"/>
    <w:rsid w:val="00346104"/>
    <w:rsid w:val="00346366"/>
    <w:rsid w:val="00346B78"/>
    <w:rsid w:val="00346C53"/>
    <w:rsid w:val="00350AFB"/>
    <w:rsid w:val="00350ED3"/>
    <w:rsid w:val="00351470"/>
    <w:rsid w:val="00352C46"/>
    <w:rsid w:val="003539A5"/>
    <w:rsid w:val="00354234"/>
    <w:rsid w:val="00354DE8"/>
    <w:rsid w:val="00354E08"/>
    <w:rsid w:val="00354F13"/>
    <w:rsid w:val="003556F1"/>
    <w:rsid w:val="00355A9B"/>
    <w:rsid w:val="00355CDE"/>
    <w:rsid w:val="0035618B"/>
    <w:rsid w:val="00357D50"/>
    <w:rsid w:val="003608BF"/>
    <w:rsid w:val="00360BBA"/>
    <w:rsid w:val="00361006"/>
    <w:rsid w:val="003610AB"/>
    <w:rsid w:val="003613CE"/>
    <w:rsid w:val="00361478"/>
    <w:rsid w:val="00361A25"/>
    <w:rsid w:val="003621C0"/>
    <w:rsid w:val="00363A9F"/>
    <w:rsid w:val="00363D66"/>
    <w:rsid w:val="00364408"/>
    <w:rsid w:val="0036498A"/>
    <w:rsid w:val="0036505A"/>
    <w:rsid w:val="00365280"/>
    <w:rsid w:val="0036580D"/>
    <w:rsid w:val="0036607E"/>
    <w:rsid w:val="003671E6"/>
    <w:rsid w:val="00367962"/>
    <w:rsid w:val="0037055E"/>
    <w:rsid w:val="00372020"/>
    <w:rsid w:val="003729CF"/>
    <w:rsid w:val="003732F2"/>
    <w:rsid w:val="00373E99"/>
    <w:rsid w:val="00373EBD"/>
    <w:rsid w:val="00376B1E"/>
    <w:rsid w:val="00376BEA"/>
    <w:rsid w:val="00377370"/>
    <w:rsid w:val="003775AD"/>
    <w:rsid w:val="003775E9"/>
    <w:rsid w:val="00377621"/>
    <w:rsid w:val="003778F2"/>
    <w:rsid w:val="003800CC"/>
    <w:rsid w:val="003809F8"/>
    <w:rsid w:val="00380AC1"/>
    <w:rsid w:val="00380EAE"/>
    <w:rsid w:val="00381042"/>
    <w:rsid w:val="00381093"/>
    <w:rsid w:val="003810E5"/>
    <w:rsid w:val="0038128C"/>
    <w:rsid w:val="003820ED"/>
    <w:rsid w:val="003827C0"/>
    <w:rsid w:val="00382DD5"/>
    <w:rsid w:val="00383222"/>
    <w:rsid w:val="0038327C"/>
    <w:rsid w:val="00383C1A"/>
    <w:rsid w:val="00383D04"/>
    <w:rsid w:val="003846F8"/>
    <w:rsid w:val="00384866"/>
    <w:rsid w:val="00384F9C"/>
    <w:rsid w:val="00385126"/>
    <w:rsid w:val="00385AA5"/>
    <w:rsid w:val="00386248"/>
    <w:rsid w:val="00386602"/>
    <w:rsid w:val="00386E59"/>
    <w:rsid w:val="003908B5"/>
    <w:rsid w:val="00391A97"/>
    <w:rsid w:val="00391B08"/>
    <w:rsid w:val="00392306"/>
    <w:rsid w:val="003924C7"/>
    <w:rsid w:val="00392920"/>
    <w:rsid w:val="00392DBD"/>
    <w:rsid w:val="00394327"/>
    <w:rsid w:val="00395BCE"/>
    <w:rsid w:val="00395F0F"/>
    <w:rsid w:val="00396F53"/>
    <w:rsid w:val="00396F81"/>
    <w:rsid w:val="00397253"/>
    <w:rsid w:val="0039738E"/>
    <w:rsid w:val="00397B60"/>
    <w:rsid w:val="003A002C"/>
    <w:rsid w:val="003A0196"/>
    <w:rsid w:val="003A0418"/>
    <w:rsid w:val="003A1506"/>
    <w:rsid w:val="003A1C23"/>
    <w:rsid w:val="003A1D1E"/>
    <w:rsid w:val="003A1FEC"/>
    <w:rsid w:val="003A27C9"/>
    <w:rsid w:val="003A3D14"/>
    <w:rsid w:val="003A567C"/>
    <w:rsid w:val="003A5908"/>
    <w:rsid w:val="003A6C37"/>
    <w:rsid w:val="003B0494"/>
    <w:rsid w:val="003B151C"/>
    <w:rsid w:val="003B1A9B"/>
    <w:rsid w:val="003B1AA3"/>
    <w:rsid w:val="003B21C5"/>
    <w:rsid w:val="003B2899"/>
    <w:rsid w:val="003B3386"/>
    <w:rsid w:val="003B520D"/>
    <w:rsid w:val="003B6384"/>
    <w:rsid w:val="003B6B37"/>
    <w:rsid w:val="003B6D33"/>
    <w:rsid w:val="003B74F5"/>
    <w:rsid w:val="003C0353"/>
    <w:rsid w:val="003C0595"/>
    <w:rsid w:val="003C07BC"/>
    <w:rsid w:val="003C1B81"/>
    <w:rsid w:val="003C34B6"/>
    <w:rsid w:val="003C34EA"/>
    <w:rsid w:val="003C37EB"/>
    <w:rsid w:val="003C38DD"/>
    <w:rsid w:val="003C47D5"/>
    <w:rsid w:val="003C496A"/>
    <w:rsid w:val="003C5C24"/>
    <w:rsid w:val="003C5CA7"/>
    <w:rsid w:val="003C5DE1"/>
    <w:rsid w:val="003C64E9"/>
    <w:rsid w:val="003C68B7"/>
    <w:rsid w:val="003C6E62"/>
    <w:rsid w:val="003C6FFD"/>
    <w:rsid w:val="003C74B3"/>
    <w:rsid w:val="003C7576"/>
    <w:rsid w:val="003C77FC"/>
    <w:rsid w:val="003D1351"/>
    <w:rsid w:val="003D1786"/>
    <w:rsid w:val="003D2760"/>
    <w:rsid w:val="003D28DA"/>
    <w:rsid w:val="003D3448"/>
    <w:rsid w:val="003D3F3C"/>
    <w:rsid w:val="003D537B"/>
    <w:rsid w:val="003D5629"/>
    <w:rsid w:val="003D7FAB"/>
    <w:rsid w:val="003E0DE4"/>
    <w:rsid w:val="003E0FE6"/>
    <w:rsid w:val="003E1042"/>
    <w:rsid w:val="003E2AD2"/>
    <w:rsid w:val="003E3096"/>
    <w:rsid w:val="003E3639"/>
    <w:rsid w:val="003E3D25"/>
    <w:rsid w:val="003E465C"/>
    <w:rsid w:val="003E48CF"/>
    <w:rsid w:val="003E4DA3"/>
    <w:rsid w:val="003E5221"/>
    <w:rsid w:val="003E5DC8"/>
    <w:rsid w:val="003E6259"/>
    <w:rsid w:val="003E6BF6"/>
    <w:rsid w:val="003E6DD8"/>
    <w:rsid w:val="003E7954"/>
    <w:rsid w:val="003E7EE1"/>
    <w:rsid w:val="003F00D1"/>
    <w:rsid w:val="003F1981"/>
    <w:rsid w:val="003F224C"/>
    <w:rsid w:val="003F23FE"/>
    <w:rsid w:val="003F31E5"/>
    <w:rsid w:val="003F33AB"/>
    <w:rsid w:val="003F416E"/>
    <w:rsid w:val="003F5625"/>
    <w:rsid w:val="003F56C2"/>
    <w:rsid w:val="003F5B3E"/>
    <w:rsid w:val="003F6017"/>
    <w:rsid w:val="003F6206"/>
    <w:rsid w:val="003F6AF2"/>
    <w:rsid w:val="003F73EA"/>
    <w:rsid w:val="003F768D"/>
    <w:rsid w:val="003F77E2"/>
    <w:rsid w:val="00400574"/>
    <w:rsid w:val="004014D6"/>
    <w:rsid w:val="00402723"/>
    <w:rsid w:val="004028CA"/>
    <w:rsid w:val="004029ED"/>
    <w:rsid w:val="00402C74"/>
    <w:rsid w:val="00402D49"/>
    <w:rsid w:val="0040350B"/>
    <w:rsid w:val="00404D06"/>
    <w:rsid w:val="00405E10"/>
    <w:rsid w:val="00406419"/>
    <w:rsid w:val="004065E6"/>
    <w:rsid w:val="0040678A"/>
    <w:rsid w:val="004076B4"/>
    <w:rsid w:val="00407952"/>
    <w:rsid w:val="00407A17"/>
    <w:rsid w:val="004111F5"/>
    <w:rsid w:val="004114A0"/>
    <w:rsid w:val="004116E2"/>
    <w:rsid w:val="00411D83"/>
    <w:rsid w:val="00411E9B"/>
    <w:rsid w:val="004120C4"/>
    <w:rsid w:val="0041248D"/>
    <w:rsid w:val="0041297E"/>
    <w:rsid w:val="00412D31"/>
    <w:rsid w:val="004141B2"/>
    <w:rsid w:val="004142A0"/>
    <w:rsid w:val="0041507F"/>
    <w:rsid w:val="004156F1"/>
    <w:rsid w:val="00415ABA"/>
    <w:rsid w:val="00416E0C"/>
    <w:rsid w:val="00417919"/>
    <w:rsid w:val="004202DC"/>
    <w:rsid w:val="0042087D"/>
    <w:rsid w:val="004220A4"/>
    <w:rsid w:val="004235F7"/>
    <w:rsid w:val="0042368E"/>
    <w:rsid w:val="004239C2"/>
    <w:rsid w:val="00424167"/>
    <w:rsid w:val="00424741"/>
    <w:rsid w:val="004263C3"/>
    <w:rsid w:val="00427236"/>
    <w:rsid w:val="004277B5"/>
    <w:rsid w:val="004307C1"/>
    <w:rsid w:val="00430BEC"/>
    <w:rsid w:val="00430C5C"/>
    <w:rsid w:val="004312D0"/>
    <w:rsid w:val="00431420"/>
    <w:rsid w:val="00431A59"/>
    <w:rsid w:val="004322E7"/>
    <w:rsid w:val="004336B2"/>
    <w:rsid w:val="00433EB8"/>
    <w:rsid w:val="00435793"/>
    <w:rsid w:val="00435C30"/>
    <w:rsid w:val="00435EE9"/>
    <w:rsid w:val="00436277"/>
    <w:rsid w:val="00436409"/>
    <w:rsid w:val="00436AF0"/>
    <w:rsid w:val="0044091C"/>
    <w:rsid w:val="00440964"/>
    <w:rsid w:val="00440BA2"/>
    <w:rsid w:val="004416C4"/>
    <w:rsid w:val="00442A7E"/>
    <w:rsid w:val="004437DD"/>
    <w:rsid w:val="00444531"/>
    <w:rsid w:val="0044454E"/>
    <w:rsid w:val="00444B7E"/>
    <w:rsid w:val="00444D2A"/>
    <w:rsid w:val="00444DFB"/>
    <w:rsid w:val="00445880"/>
    <w:rsid w:val="00446780"/>
    <w:rsid w:val="00447502"/>
    <w:rsid w:val="0044759C"/>
    <w:rsid w:val="00447A32"/>
    <w:rsid w:val="00447C0E"/>
    <w:rsid w:val="00447F96"/>
    <w:rsid w:val="00447FEA"/>
    <w:rsid w:val="004517D4"/>
    <w:rsid w:val="00451ED0"/>
    <w:rsid w:val="004522A3"/>
    <w:rsid w:val="004525CE"/>
    <w:rsid w:val="00453040"/>
    <w:rsid w:val="004536DA"/>
    <w:rsid w:val="0045425B"/>
    <w:rsid w:val="00454655"/>
    <w:rsid w:val="00454854"/>
    <w:rsid w:val="00454D4B"/>
    <w:rsid w:val="00455223"/>
    <w:rsid w:val="0045535D"/>
    <w:rsid w:val="0045763F"/>
    <w:rsid w:val="00457D40"/>
    <w:rsid w:val="004600C5"/>
    <w:rsid w:val="00461415"/>
    <w:rsid w:val="0046179D"/>
    <w:rsid w:val="00462118"/>
    <w:rsid w:val="00462200"/>
    <w:rsid w:val="004625D6"/>
    <w:rsid w:val="00462B8F"/>
    <w:rsid w:val="00463711"/>
    <w:rsid w:val="004645DB"/>
    <w:rsid w:val="00464674"/>
    <w:rsid w:val="00464ACA"/>
    <w:rsid w:val="004650A5"/>
    <w:rsid w:val="00465C6D"/>
    <w:rsid w:val="0046675E"/>
    <w:rsid w:val="00467036"/>
    <w:rsid w:val="00467DC6"/>
    <w:rsid w:val="00470B26"/>
    <w:rsid w:val="004711E1"/>
    <w:rsid w:val="00471745"/>
    <w:rsid w:val="0047186B"/>
    <w:rsid w:val="00471E1F"/>
    <w:rsid w:val="00471FD4"/>
    <w:rsid w:val="00472058"/>
    <w:rsid w:val="00474383"/>
    <w:rsid w:val="00474D00"/>
    <w:rsid w:val="00474F2C"/>
    <w:rsid w:val="00475451"/>
    <w:rsid w:val="00476049"/>
    <w:rsid w:val="004762AA"/>
    <w:rsid w:val="0047692D"/>
    <w:rsid w:val="00477220"/>
    <w:rsid w:val="00480153"/>
    <w:rsid w:val="00480B77"/>
    <w:rsid w:val="0048289B"/>
    <w:rsid w:val="00482F92"/>
    <w:rsid w:val="0048340D"/>
    <w:rsid w:val="00483607"/>
    <w:rsid w:val="00483FE7"/>
    <w:rsid w:val="004845EA"/>
    <w:rsid w:val="004849A4"/>
    <w:rsid w:val="00484B93"/>
    <w:rsid w:val="0048628B"/>
    <w:rsid w:val="004863E3"/>
    <w:rsid w:val="004872E9"/>
    <w:rsid w:val="004900D1"/>
    <w:rsid w:val="00490925"/>
    <w:rsid w:val="00491EE2"/>
    <w:rsid w:val="00492B63"/>
    <w:rsid w:val="00493D48"/>
    <w:rsid w:val="00494011"/>
    <w:rsid w:val="00494041"/>
    <w:rsid w:val="00494761"/>
    <w:rsid w:val="00494AD4"/>
    <w:rsid w:val="00495BD7"/>
    <w:rsid w:val="004965F1"/>
    <w:rsid w:val="00496B07"/>
    <w:rsid w:val="004975CF"/>
    <w:rsid w:val="004A0C60"/>
    <w:rsid w:val="004A104F"/>
    <w:rsid w:val="004A168B"/>
    <w:rsid w:val="004A2E01"/>
    <w:rsid w:val="004A3414"/>
    <w:rsid w:val="004A3FAF"/>
    <w:rsid w:val="004A432D"/>
    <w:rsid w:val="004A4781"/>
    <w:rsid w:val="004A53FD"/>
    <w:rsid w:val="004A5985"/>
    <w:rsid w:val="004A5C2A"/>
    <w:rsid w:val="004A5E4B"/>
    <w:rsid w:val="004A629C"/>
    <w:rsid w:val="004A66B1"/>
    <w:rsid w:val="004A77A9"/>
    <w:rsid w:val="004A7AED"/>
    <w:rsid w:val="004B03BA"/>
    <w:rsid w:val="004B0811"/>
    <w:rsid w:val="004B3BF8"/>
    <w:rsid w:val="004B3C89"/>
    <w:rsid w:val="004B3D07"/>
    <w:rsid w:val="004B4403"/>
    <w:rsid w:val="004B4A8B"/>
    <w:rsid w:val="004B4F30"/>
    <w:rsid w:val="004B5942"/>
    <w:rsid w:val="004B6A59"/>
    <w:rsid w:val="004B7173"/>
    <w:rsid w:val="004B7175"/>
    <w:rsid w:val="004B7C4C"/>
    <w:rsid w:val="004C0408"/>
    <w:rsid w:val="004C05FF"/>
    <w:rsid w:val="004C2691"/>
    <w:rsid w:val="004C27B4"/>
    <w:rsid w:val="004C334F"/>
    <w:rsid w:val="004C34F4"/>
    <w:rsid w:val="004C3E5E"/>
    <w:rsid w:val="004C3FCD"/>
    <w:rsid w:val="004C43C1"/>
    <w:rsid w:val="004C5E03"/>
    <w:rsid w:val="004C6359"/>
    <w:rsid w:val="004C69EF"/>
    <w:rsid w:val="004C6CA1"/>
    <w:rsid w:val="004C78F6"/>
    <w:rsid w:val="004D0729"/>
    <w:rsid w:val="004D0B6D"/>
    <w:rsid w:val="004D13C3"/>
    <w:rsid w:val="004D21E4"/>
    <w:rsid w:val="004D248A"/>
    <w:rsid w:val="004D2980"/>
    <w:rsid w:val="004D3AB1"/>
    <w:rsid w:val="004D3FF1"/>
    <w:rsid w:val="004D4593"/>
    <w:rsid w:val="004D59C6"/>
    <w:rsid w:val="004D5D3A"/>
    <w:rsid w:val="004D6517"/>
    <w:rsid w:val="004D68F3"/>
    <w:rsid w:val="004D6F16"/>
    <w:rsid w:val="004D7051"/>
    <w:rsid w:val="004D796F"/>
    <w:rsid w:val="004D7D1F"/>
    <w:rsid w:val="004D7D80"/>
    <w:rsid w:val="004E04B9"/>
    <w:rsid w:val="004E05CE"/>
    <w:rsid w:val="004E0FBF"/>
    <w:rsid w:val="004E1130"/>
    <w:rsid w:val="004E137E"/>
    <w:rsid w:val="004E1E9F"/>
    <w:rsid w:val="004E1FA9"/>
    <w:rsid w:val="004E3AD3"/>
    <w:rsid w:val="004E475B"/>
    <w:rsid w:val="004E597E"/>
    <w:rsid w:val="004E623F"/>
    <w:rsid w:val="004E661A"/>
    <w:rsid w:val="004E67B6"/>
    <w:rsid w:val="004E77FC"/>
    <w:rsid w:val="004E78C4"/>
    <w:rsid w:val="004E792D"/>
    <w:rsid w:val="004F083C"/>
    <w:rsid w:val="004F08BD"/>
    <w:rsid w:val="004F0DBC"/>
    <w:rsid w:val="004F1485"/>
    <w:rsid w:val="004F2633"/>
    <w:rsid w:val="004F556C"/>
    <w:rsid w:val="004F579C"/>
    <w:rsid w:val="004F5BF5"/>
    <w:rsid w:val="004F5E04"/>
    <w:rsid w:val="004F5F12"/>
    <w:rsid w:val="004F5F1C"/>
    <w:rsid w:val="004F6900"/>
    <w:rsid w:val="004F7778"/>
    <w:rsid w:val="005003B3"/>
    <w:rsid w:val="00500846"/>
    <w:rsid w:val="00500CD8"/>
    <w:rsid w:val="00500F8A"/>
    <w:rsid w:val="00501697"/>
    <w:rsid w:val="0050230D"/>
    <w:rsid w:val="005025E4"/>
    <w:rsid w:val="005028BA"/>
    <w:rsid w:val="00503B76"/>
    <w:rsid w:val="00503CD5"/>
    <w:rsid w:val="00504FDD"/>
    <w:rsid w:val="00505203"/>
    <w:rsid w:val="00505B7F"/>
    <w:rsid w:val="00505EB3"/>
    <w:rsid w:val="00505F3B"/>
    <w:rsid w:val="00506621"/>
    <w:rsid w:val="00506D5D"/>
    <w:rsid w:val="00507172"/>
    <w:rsid w:val="00507642"/>
    <w:rsid w:val="00507BDE"/>
    <w:rsid w:val="0051115D"/>
    <w:rsid w:val="0051223E"/>
    <w:rsid w:val="005122F5"/>
    <w:rsid w:val="0051275A"/>
    <w:rsid w:val="00512BC8"/>
    <w:rsid w:val="00512C9E"/>
    <w:rsid w:val="005134DD"/>
    <w:rsid w:val="005148E3"/>
    <w:rsid w:val="00514C9A"/>
    <w:rsid w:val="00516067"/>
    <w:rsid w:val="0051608C"/>
    <w:rsid w:val="005161BC"/>
    <w:rsid w:val="00516A49"/>
    <w:rsid w:val="00516AC1"/>
    <w:rsid w:val="0052002E"/>
    <w:rsid w:val="0052033A"/>
    <w:rsid w:val="00520DED"/>
    <w:rsid w:val="00521EA0"/>
    <w:rsid w:val="00522213"/>
    <w:rsid w:val="0052252D"/>
    <w:rsid w:val="0052327B"/>
    <w:rsid w:val="00523282"/>
    <w:rsid w:val="0052349A"/>
    <w:rsid w:val="00524A06"/>
    <w:rsid w:val="00525437"/>
    <w:rsid w:val="00525506"/>
    <w:rsid w:val="00525516"/>
    <w:rsid w:val="0052571C"/>
    <w:rsid w:val="00525AEE"/>
    <w:rsid w:val="005264D2"/>
    <w:rsid w:val="00527104"/>
    <w:rsid w:val="0053130D"/>
    <w:rsid w:val="0053148F"/>
    <w:rsid w:val="00531C0F"/>
    <w:rsid w:val="00532D84"/>
    <w:rsid w:val="00533E27"/>
    <w:rsid w:val="00534049"/>
    <w:rsid w:val="005344A6"/>
    <w:rsid w:val="00534694"/>
    <w:rsid w:val="005347C0"/>
    <w:rsid w:val="00534DF6"/>
    <w:rsid w:val="00535555"/>
    <w:rsid w:val="00536BCE"/>
    <w:rsid w:val="00537076"/>
    <w:rsid w:val="0053766F"/>
    <w:rsid w:val="005378D7"/>
    <w:rsid w:val="00537BF4"/>
    <w:rsid w:val="00537F89"/>
    <w:rsid w:val="0054025E"/>
    <w:rsid w:val="00540739"/>
    <w:rsid w:val="00540E37"/>
    <w:rsid w:val="005426DF"/>
    <w:rsid w:val="00542F36"/>
    <w:rsid w:val="00544146"/>
    <w:rsid w:val="0054655C"/>
    <w:rsid w:val="00547B7C"/>
    <w:rsid w:val="00550837"/>
    <w:rsid w:val="0055256E"/>
    <w:rsid w:val="005536F7"/>
    <w:rsid w:val="00553E18"/>
    <w:rsid w:val="005545D1"/>
    <w:rsid w:val="005549DB"/>
    <w:rsid w:val="0055647C"/>
    <w:rsid w:val="00556E00"/>
    <w:rsid w:val="0055756A"/>
    <w:rsid w:val="0055791D"/>
    <w:rsid w:val="0055792D"/>
    <w:rsid w:val="00557981"/>
    <w:rsid w:val="00557A91"/>
    <w:rsid w:val="00557F6B"/>
    <w:rsid w:val="0056118B"/>
    <w:rsid w:val="005618DB"/>
    <w:rsid w:val="005629ED"/>
    <w:rsid w:val="00562DE6"/>
    <w:rsid w:val="00563435"/>
    <w:rsid w:val="0056481C"/>
    <w:rsid w:val="0056542D"/>
    <w:rsid w:val="00566269"/>
    <w:rsid w:val="00566539"/>
    <w:rsid w:val="00570EA2"/>
    <w:rsid w:val="00571737"/>
    <w:rsid w:val="00572CD8"/>
    <w:rsid w:val="00572D18"/>
    <w:rsid w:val="005731B9"/>
    <w:rsid w:val="00573D25"/>
    <w:rsid w:val="00573FA5"/>
    <w:rsid w:val="00573FE9"/>
    <w:rsid w:val="005748FC"/>
    <w:rsid w:val="00575630"/>
    <w:rsid w:val="005756A9"/>
    <w:rsid w:val="005764D3"/>
    <w:rsid w:val="00577F75"/>
    <w:rsid w:val="005802AB"/>
    <w:rsid w:val="005807B7"/>
    <w:rsid w:val="005822B1"/>
    <w:rsid w:val="00582659"/>
    <w:rsid w:val="00582820"/>
    <w:rsid w:val="0058418B"/>
    <w:rsid w:val="005846C1"/>
    <w:rsid w:val="00584D72"/>
    <w:rsid w:val="00585087"/>
    <w:rsid w:val="0058667B"/>
    <w:rsid w:val="00586AF1"/>
    <w:rsid w:val="00586D19"/>
    <w:rsid w:val="0058727C"/>
    <w:rsid w:val="005879E8"/>
    <w:rsid w:val="00587FCE"/>
    <w:rsid w:val="005900B9"/>
    <w:rsid w:val="005903A0"/>
    <w:rsid w:val="00590AC0"/>
    <w:rsid w:val="00590F54"/>
    <w:rsid w:val="00590FEB"/>
    <w:rsid w:val="00592614"/>
    <w:rsid w:val="00592BEC"/>
    <w:rsid w:val="00592FF6"/>
    <w:rsid w:val="00593288"/>
    <w:rsid w:val="00593E14"/>
    <w:rsid w:val="00595798"/>
    <w:rsid w:val="005957C1"/>
    <w:rsid w:val="00596A73"/>
    <w:rsid w:val="00596A7E"/>
    <w:rsid w:val="00596B3E"/>
    <w:rsid w:val="00596EA7"/>
    <w:rsid w:val="00596F6B"/>
    <w:rsid w:val="00597BE5"/>
    <w:rsid w:val="00597F5F"/>
    <w:rsid w:val="005A203D"/>
    <w:rsid w:val="005A231D"/>
    <w:rsid w:val="005A23B1"/>
    <w:rsid w:val="005A264F"/>
    <w:rsid w:val="005A28C1"/>
    <w:rsid w:val="005A28D9"/>
    <w:rsid w:val="005A4133"/>
    <w:rsid w:val="005A4149"/>
    <w:rsid w:val="005A41F8"/>
    <w:rsid w:val="005A4AA0"/>
    <w:rsid w:val="005A4C7F"/>
    <w:rsid w:val="005A4F82"/>
    <w:rsid w:val="005A5179"/>
    <w:rsid w:val="005A5B62"/>
    <w:rsid w:val="005A6198"/>
    <w:rsid w:val="005A6314"/>
    <w:rsid w:val="005A6BBB"/>
    <w:rsid w:val="005B031A"/>
    <w:rsid w:val="005B1272"/>
    <w:rsid w:val="005B2591"/>
    <w:rsid w:val="005B2925"/>
    <w:rsid w:val="005B2C6A"/>
    <w:rsid w:val="005B389E"/>
    <w:rsid w:val="005B407F"/>
    <w:rsid w:val="005B40A8"/>
    <w:rsid w:val="005B4402"/>
    <w:rsid w:val="005B4838"/>
    <w:rsid w:val="005B48F3"/>
    <w:rsid w:val="005B49B1"/>
    <w:rsid w:val="005B51B2"/>
    <w:rsid w:val="005B5261"/>
    <w:rsid w:val="005B5483"/>
    <w:rsid w:val="005B5C1D"/>
    <w:rsid w:val="005B6613"/>
    <w:rsid w:val="005B6ABF"/>
    <w:rsid w:val="005B7C3B"/>
    <w:rsid w:val="005C0EA8"/>
    <w:rsid w:val="005C155C"/>
    <w:rsid w:val="005C1C46"/>
    <w:rsid w:val="005C218F"/>
    <w:rsid w:val="005C2DEB"/>
    <w:rsid w:val="005C3184"/>
    <w:rsid w:val="005C39B0"/>
    <w:rsid w:val="005C3A9A"/>
    <w:rsid w:val="005C3F98"/>
    <w:rsid w:val="005C4117"/>
    <w:rsid w:val="005C4244"/>
    <w:rsid w:val="005C4AD9"/>
    <w:rsid w:val="005C516C"/>
    <w:rsid w:val="005C55B8"/>
    <w:rsid w:val="005C5D1D"/>
    <w:rsid w:val="005C68B5"/>
    <w:rsid w:val="005C6BB1"/>
    <w:rsid w:val="005C7282"/>
    <w:rsid w:val="005D0854"/>
    <w:rsid w:val="005D0EF3"/>
    <w:rsid w:val="005D1351"/>
    <w:rsid w:val="005D1375"/>
    <w:rsid w:val="005D1396"/>
    <w:rsid w:val="005D2832"/>
    <w:rsid w:val="005D28D6"/>
    <w:rsid w:val="005D2F10"/>
    <w:rsid w:val="005D3526"/>
    <w:rsid w:val="005D36A1"/>
    <w:rsid w:val="005D40E2"/>
    <w:rsid w:val="005D4742"/>
    <w:rsid w:val="005D4D4F"/>
    <w:rsid w:val="005D5071"/>
    <w:rsid w:val="005D55C1"/>
    <w:rsid w:val="005E00D3"/>
    <w:rsid w:val="005E0463"/>
    <w:rsid w:val="005E06C2"/>
    <w:rsid w:val="005E0E4C"/>
    <w:rsid w:val="005E1112"/>
    <w:rsid w:val="005E14EB"/>
    <w:rsid w:val="005E1792"/>
    <w:rsid w:val="005E18F6"/>
    <w:rsid w:val="005E1F02"/>
    <w:rsid w:val="005E37C6"/>
    <w:rsid w:val="005E4B8E"/>
    <w:rsid w:val="005E4CC4"/>
    <w:rsid w:val="005E57B2"/>
    <w:rsid w:val="005E727A"/>
    <w:rsid w:val="005E78C1"/>
    <w:rsid w:val="005E7956"/>
    <w:rsid w:val="005E7A2F"/>
    <w:rsid w:val="005F01E9"/>
    <w:rsid w:val="005F0262"/>
    <w:rsid w:val="005F0614"/>
    <w:rsid w:val="005F155B"/>
    <w:rsid w:val="005F175A"/>
    <w:rsid w:val="005F1E13"/>
    <w:rsid w:val="005F1FCB"/>
    <w:rsid w:val="005F20C1"/>
    <w:rsid w:val="005F2C39"/>
    <w:rsid w:val="005F2FB2"/>
    <w:rsid w:val="005F3531"/>
    <w:rsid w:val="005F43E8"/>
    <w:rsid w:val="005F554C"/>
    <w:rsid w:val="005F5927"/>
    <w:rsid w:val="005F6248"/>
    <w:rsid w:val="005F66BC"/>
    <w:rsid w:val="005F6D4B"/>
    <w:rsid w:val="005F76DC"/>
    <w:rsid w:val="00601340"/>
    <w:rsid w:val="0060139D"/>
    <w:rsid w:val="0060223F"/>
    <w:rsid w:val="0060233E"/>
    <w:rsid w:val="006032D7"/>
    <w:rsid w:val="0060479A"/>
    <w:rsid w:val="00604ACF"/>
    <w:rsid w:val="006054D4"/>
    <w:rsid w:val="0060714C"/>
    <w:rsid w:val="00610ED9"/>
    <w:rsid w:val="00611A3A"/>
    <w:rsid w:val="00611A3B"/>
    <w:rsid w:val="006125F0"/>
    <w:rsid w:val="00612862"/>
    <w:rsid w:val="00612DF4"/>
    <w:rsid w:val="0061382C"/>
    <w:rsid w:val="006140E2"/>
    <w:rsid w:val="00615AE4"/>
    <w:rsid w:val="00616D13"/>
    <w:rsid w:val="006173A5"/>
    <w:rsid w:val="0062020B"/>
    <w:rsid w:val="0062067B"/>
    <w:rsid w:val="00620E34"/>
    <w:rsid w:val="00621894"/>
    <w:rsid w:val="00623976"/>
    <w:rsid w:val="00623C0F"/>
    <w:rsid w:val="00623F00"/>
    <w:rsid w:val="00623FE2"/>
    <w:rsid w:val="006246E1"/>
    <w:rsid w:val="006250C0"/>
    <w:rsid w:val="00625235"/>
    <w:rsid w:val="00625C31"/>
    <w:rsid w:val="00625CCB"/>
    <w:rsid w:val="0062632C"/>
    <w:rsid w:val="00626541"/>
    <w:rsid w:val="006265AC"/>
    <w:rsid w:val="006274B0"/>
    <w:rsid w:val="006305F4"/>
    <w:rsid w:val="006307A7"/>
    <w:rsid w:val="00631509"/>
    <w:rsid w:val="006325BE"/>
    <w:rsid w:val="00632D9B"/>
    <w:rsid w:val="006336F7"/>
    <w:rsid w:val="00633D9E"/>
    <w:rsid w:val="00634518"/>
    <w:rsid w:val="006345CF"/>
    <w:rsid w:val="00634ABD"/>
    <w:rsid w:val="00635622"/>
    <w:rsid w:val="006358FE"/>
    <w:rsid w:val="00635AF5"/>
    <w:rsid w:val="00637A62"/>
    <w:rsid w:val="00637FAF"/>
    <w:rsid w:val="00640854"/>
    <w:rsid w:val="006413F4"/>
    <w:rsid w:val="006416E3"/>
    <w:rsid w:val="00641A08"/>
    <w:rsid w:val="00642581"/>
    <w:rsid w:val="006433B3"/>
    <w:rsid w:val="0064379A"/>
    <w:rsid w:val="00643D97"/>
    <w:rsid w:val="0064526F"/>
    <w:rsid w:val="00645FE3"/>
    <w:rsid w:val="0064621B"/>
    <w:rsid w:val="00646F87"/>
    <w:rsid w:val="0064728D"/>
    <w:rsid w:val="00651E07"/>
    <w:rsid w:val="00651F62"/>
    <w:rsid w:val="00652044"/>
    <w:rsid w:val="00652541"/>
    <w:rsid w:val="00652C4D"/>
    <w:rsid w:val="00652E28"/>
    <w:rsid w:val="00652EA7"/>
    <w:rsid w:val="0065308A"/>
    <w:rsid w:val="0065321A"/>
    <w:rsid w:val="00653590"/>
    <w:rsid w:val="00653D11"/>
    <w:rsid w:val="00653DAE"/>
    <w:rsid w:val="00655753"/>
    <w:rsid w:val="0065663E"/>
    <w:rsid w:val="00656F22"/>
    <w:rsid w:val="00657445"/>
    <w:rsid w:val="00657588"/>
    <w:rsid w:val="00657E1F"/>
    <w:rsid w:val="00657FF8"/>
    <w:rsid w:val="00660736"/>
    <w:rsid w:val="00661344"/>
    <w:rsid w:val="00661A08"/>
    <w:rsid w:val="00661A21"/>
    <w:rsid w:val="00661CAF"/>
    <w:rsid w:val="00661FF9"/>
    <w:rsid w:val="006627EE"/>
    <w:rsid w:val="00662C9D"/>
    <w:rsid w:val="0066315B"/>
    <w:rsid w:val="00663754"/>
    <w:rsid w:val="00663983"/>
    <w:rsid w:val="00663D69"/>
    <w:rsid w:val="006648E1"/>
    <w:rsid w:val="00664919"/>
    <w:rsid w:val="00664D19"/>
    <w:rsid w:val="00665FB2"/>
    <w:rsid w:val="00667450"/>
    <w:rsid w:val="00671881"/>
    <w:rsid w:val="00671D27"/>
    <w:rsid w:val="00673759"/>
    <w:rsid w:val="00674CF3"/>
    <w:rsid w:val="00674ED7"/>
    <w:rsid w:val="0067531C"/>
    <w:rsid w:val="00675F00"/>
    <w:rsid w:val="0067624F"/>
    <w:rsid w:val="006764D6"/>
    <w:rsid w:val="00676792"/>
    <w:rsid w:val="00676936"/>
    <w:rsid w:val="00676CD6"/>
    <w:rsid w:val="00677176"/>
    <w:rsid w:val="00680850"/>
    <w:rsid w:val="00680AE4"/>
    <w:rsid w:val="0068120B"/>
    <w:rsid w:val="00681BE0"/>
    <w:rsid w:val="00683695"/>
    <w:rsid w:val="0068373A"/>
    <w:rsid w:val="00683DE5"/>
    <w:rsid w:val="00684520"/>
    <w:rsid w:val="00684A86"/>
    <w:rsid w:val="00685FD2"/>
    <w:rsid w:val="0068675F"/>
    <w:rsid w:val="00686EB3"/>
    <w:rsid w:val="00687261"/>
    <w:rsid w:val="0068764C"/>
    <w:rsid w:val="006879C3"/>
    <w:rsid w:val="00687DAF"/>
    <w:rsid w:val="00690370"/>
    <w:rsid w:val="00690A27"/>
    <w:rsid w:val="00691D65"/>
    <w:rsid w:val="00691DE2"/>
    <w:rsid w:val="00691EB0"/>
    <w:rsid w:val="00691EE5"/>
    <w:rsid w:val="00692AA3"/>
    <w:rsid w:val="00692F6A"/>
    <w:rsid w:val="006933DA"/>
    <w:rsid w:val="00693747"/>
    <w:rsid w:val="00693D0C"/>
    <w:rsid w:val="00694084"/>
    <w:rsid w:val="0069454B"/>
    <w:rsid w:val="00694E15"/>
    <w:rsid w:val="00694E9D"/>
    <w:rsid w:val="00697C32"/>
    <w:rsid w:val="006A0201"/>
    <w:rsid w:val="006A14E3"/>
    <w:rsid w:val="006A16BA"/>
    <w:rsid w:val="006A1829"/>
    <w:rsid w:val="006A1B3B"/>
    <w:rsid w:val="006A1BE2"/>
    <w:rsid w:val="006A28A6"/>
    <w:rsid w:val="006A2905"/>
    <w:rsid w:val="006A2C00"/>
    <w:rsid w:val="006A38AF"/>
    <w:rsid w:val="006A5957"/>
    <w:rsid w:val="006A62F9"/>
    <w:rsid w:val="006A63ED"/>
    <w:rsid w:val="006A75F4"/>
    <w:rsid w:val="006B0A39"/>
    <w:rsid w:val="006B1249"/>
    <w:rsid w:val="006B2242"/>
    <w:rsid w:val="006B248A"/>
    <w:rsid w:val="006B24AF"/>
    <w:rsid w:val="006B3633"/>
    <w:rsid w:val="006B39F9"/>
    <w:rsid w:val="006B3A21"/>
    <w:rsid w:val="006B4E13"/>
    <w:rsid w:val="006B5F0E"/>
    <w:rsid w:val="006B6691"/>
    <w:rsid w:val="006B6900"/>
    <w:rsid w:val="006B6C43"/>
    <w:rsid w:val="006B746E"/>
    <w:rsid w:val="006B7720"/>
    <w:rsid w:val="006C0D7B"/>
    <w:rsid w:val="006C104E"/>
    <w:rsid w:val="006C1A83"/>
    <w:rsid w:val="006C1D01"/>
    <w:rsid w:val="006C25BB"/>
    <w:rsid w:val="006C2998"/>
    <w:rsid w:val="006C2E61"/>
    <w:rsid w:val="006C364A"/>
    <w:rsid w:val="006C386F"/>
    <w:rsid w:val="006C4CB1"/>
    <w:rsid w:val="006C5D7D"/>
    <w:rsid w:val="006C6314"/>
    <w:rsid w:val="006C681A"/>
    <w:rsid w:val="006C6DFB"/>
    <w:rsid w:val="006C7D50"/>
    <w:rsid w:val="006D0686"/>
    <w:rsid w:val="006D2384"/>
    <w:rsid w:val="006D4E1C"/>
    <w:rsid w:val="006D4F35"/>
    <w:rsid w:val="006D52E0"/>
    <w:rsid w:val="006D5344"/>
    <w:rsid w:val="006D5B1F"/>
    <w:rsid w:val="006D5CF5"/>
    <w:rsid w:val="006D6968"/>
    <w:rsid w:val="006D6D89"/>
    <w:rsid w:val="006D711F"/>
    <w:rsid w:val="006D7591"/>
    <w:rsid w:val="006E00EA"/>
    <w:rsid w:val="006E0A3F"/>
    <w:rsid w:val="006E101C"/>
    <w:rsid w:val="006E1346"/>
    <w:rsid w:val="006E2ABA"/>
    <w:rsid w:val="006E2B6B"/>
    <w:rsid w:val="006E2C00"/>
    <w:rsid w:val="006E35A4"/>
    <w:rsid w:val="006E45A5"/>
    <w:rsid w:val="006E4B8A"/>
    <w:rsid w:val="006E507C"/>
    <w:rsid w:val="006E56D8"/>
    <w:rsid w:val="006E5923"/>
    <w:rsid w:val="006E608B"/>
    <w:rsid w:val="006E7279"/>
    <w:rsid w:val="006E769E"/>
    <w:rsid w:val="006F0820"/>
    <w:rsid w:val="006F0879"/>
    <w:rsid w:val="006F0ADD"/>
    <w:rsid w:val="006F0F22"/>
    <w:rsid w:val="006F14AA"/>
    <w:rsid w:val="006F15A9"/>
    <w:rsid w:val="006F2994"/>
    <w:rsid w:val="006F34D9"/>
    <w:rsid w:val="006F3B05"/>
    <w:rsid w:val="006F4370"/>
    <w:rsid w:val="006F4677"/>
    <w:rsid w:val="006F5406"/>
    <w:rsid w:val="006F54E4"/>
    <w:rsid w:val="006F563A"/>
    <w:rsid w:val="006F5E41"/>
    <w:rsid w:val="006F6617"/>
    <w:rsid w:val="006F6863"/>
    <w:rsid w:val="006F7C9B"/>
    <w:rsid w:val="007001E6"/>
    <w:rsid w:val="007002F2"/>
    <w:rsid w:val="00701127"/>
    <w:rsid w:val="00701FF2"/>
    <w:rsid w:val="007026DA"/>
    <w:rsid w:val="007043CA"/>
    <w:rsid w:val="00704957"/>
    <w:rsid w:val="007065F9"/>
    <w:rsid w:val="00707D54"/>
    <w:rsid w:val="007113E1"/>
    <w:rsid w:val="00711499"/>
    <w:rsid w:val="00712AAF"/>
    <w:rsid w:val="00712DBE"/>
    <w:rsid w:val="0071440F"/>
    <w:rsid w:val="007149D3"/>
    <w:rsid w:val="007152A2"/>
    <w:rsid w:val="007170F7"/>
    <w:rsid w:val="00717501"/>
    <w:rsid w:val="00717C7E"/>
    <w:rsid w:val="00720EB2"/>
    <w:rsid w:val="007225C4"/>
    <w:rsid w:val="007228B4"/>
    <w:rsid w:val="007228C8"/>
    <w:rsid w:val="00723617"/>
    <w:rsid w:val="00723759"/>
    <w:rsid w:val="00724354"/>
    <w:rsid w:val="00724E76"/>
    <w:rsid w:val="00725908"/>
    <w:rsid w:val="0072594B"/>
    <w:rsid w:val="00725DE1"/>
    <w:rsid w:val="00727D50"/>
    <w:rsid w:val="0073061D"/>
    <w:rsid w:val="00730B2C"/>
    <w:rsid w:val="007314C9"/>
    <w:rsid w:val="007325CB"/>
    <w:rsid w:val="0073288D"/>
    <w:rsid w:val="00732968"/>
    <w:rsid w:val="00732B1A"/>
    <w:rsid w:val="00733790"/>
    <w:rsid w:val="00733944"/>
    <w:rsid w:val="00733E9E"/>
    <w:rsid w:val="00734242"/>
    <w:rsid w:val="00734459"/>
    <w:rsid w:val="007351A5"/>
    <w:rsid w:val="007409FB"/>
    <w:rsid w:val="00740BE6"/>
    <w:rsid w:val="00740D88"/>
    <w:rsid w:val="007410A1"/>
    <w:rsid w:val="00741459"/>
    <w:rsid w:val="00742AA3"/>
    <w:rsid w:val="0074332D"/>
    <w:rsid w:val="007441D9"/>
    <w:rsid w:val="007448AF"/>
    <w:rsid w:val="00744ACA"/>
    <w:rsid w:val="007473A3"/>
    <w:rsid w:val="0074761D"/>
    <w:rsid w:val="00750B84"/>
    <w:rsid w:val="00751888"/>
    <w:rsid w:val="007518CD"/>
    <w:rsid w:val="00751C24"/>
    <w:rsid w:val="007520F6"/>
    <w:rsid w:val="00754040"/>
    <w:rsid w:val="00754D6D"/>
    <w:rsid w:val="00754FB9"/>
    <w:rsid w:val="00755684"/>
    <w:rsid w:val="00755FD4"/>
    <w:rsid w:val="00756170"/>
    <w:rsid w:val="007567E6"/>
    <w:rsid w:val="00756BA8"/>
    <w:rsid w:val="00756EE9"/>
    <w:rsid w:val="007571BA"/>
    <w:rsid w:val="007572C6"/>
    <w:rsid w:val="00757890"/>
    <w:rsid w:val="00757EBA"/>
    <w:rsid w:val="00760608"/>
    <w:rsid w:val="00760A41"/>
    <w:rsid w:val="00760F35"/>
    <w:rsid w:val="00760F7D"/>
    <w:rsid w:val="00761CF9"/>
    <w:rsid w:val="00761E32"/>
    <w:rsid w:val="007625DF"/>
    <w:rsid w:val="00762CC8"/>
    <w:rsid w:val="00762FE1"/>
    <w:rsid w:val="00763A94"/>
    <w:rsid w:val="00764818"/>
    <w:rsid w:val="00764E09"/>
    <w:rsid w:val="00764F86"/>
    <w:rsid w:val="00765372"/>
    <w:rsid w:val="007660FB"/>
    <w:rsid w:val="0076673C"/>
    <w:rsid w:val="0076775A"/>
    <w:rsid w:val="00767AA4"/>
    <w:rsid w:val="00767ACC"/>
    <w:rsid w:val="00767EF0"/>
    <w:rsid w:val="007701A5"/>
    <w:rsid w:val="0077034A"/>
    <w:rsid w:val="00772E97"/>
    <w:rsid w:val="00773163"/>
    <w:rsid w:val="00773766"/>
    <w:rsid w:val="00773E9F"/>
    <w:rsid w:val="0077407B"/>
    <w:rsid w:val="007751AA"/>
    <w:rsid w:val="00775DDB"/>
    <w:rsid w:val="00776224"/>
    <w:rsid w:val="007763E6"/>
    <w:rsid w:val="00776D1F"/>
    <w:rsid w:val="00777E54"/>
    <w:rsid w:val="00780310"/>
    <w:rsid w:val="007828C9"/>
    <w:rsid w:val="007834D5"/>
    <w:rsid w:val="007842C3"/>
    <w:rsid w:val="007851D2"/>
    <w:rsid w:val="0078534C"/>
    <w:rsid w:val="00785374"/>
    <w:rsid w:val="00785CAE"/>
    <w:rsid w:val="00785FA8"/>
    <w:rsid w:val="0078672E"/>
    <w:rsid w:val="00786CE5"/>
    <w:rsid w:val="007876F2"/>
    <w:rsid w:val="00787E8B"/>
    <w:rsid w:val="00790476"/>
    <w:rsid w:val="00790CA8"/>
    <w:rsid w:val="00790D17"/>
    <w:rsid w:val="00791609"/>
    <w:rsid w:val="007920BF"/>
    <w:rsid w:val="0079292A"/>
    <w:rsid w:val="00792A27"/>
    <w:rsid w:val="00793D64"/>
    <w:rsid w:val="00793E9C"/>
    <w:rsid w:val="00794690"/>
    <w:rsid w:val="0079565F"/>
    <w:rsid w:val="00795BF2"/>
    <w:rsid w:val="00796020"/>
    <w:rsid w:val="00796422"/>
    <w:rsid w:val="00796847"/>
    <w:rsid w:val="007969B8"/>
    <w:rsid w:val="0079779C"/>
    <w:rsid w:val="007A189D"/>
    <w:rsid w:val="007A1939"/>
    <w:rsid w:val="007A1C01"/>
    <w:rsid w:val="007A24F0"/>
    <w:rsid w:val="007A28A3"/>
    <w:rsid w:val="007A36DE"/>
    <w:rsid w:val="007A3798"/>
    <w:rsid w:val="007A38AA"/>
    <w:rsid w:val="007A3A48"/>
    <w:rsid w:val="007A3AA3"/>
    <w:rsid w:val="007A4ECC"/>
    <w:rsid w:val="007A56CD"/>
    <w:rsid w:val="007A5D7E"/>
    <w:rsid w:val="007A624A"/>
    <w:rsid w:val="007A664B"/>
    <w:rsid w:val="007A678A"/>
    <w:rsid w:val="007A6FD9"/>
    <w:rsid w:val="007A7584"/>
    <w:rsid w:val="007A7B51"/>
    <w:rsid w:val="007A7F3E"/>
    <w:rsid w:val="007B1190"/>
    <w:rsid w:val="007B168B"/>
    <w:rsid w:val="007B1D62"/>
    <w:rsid w:val="007B351D"/>
    <w:rsid w:val="007B40F9"/>
    <w:rsid w:val="007B4B09"/>
    <w:rsid w:val="007B4E33"/>
    <w:rsid w:val="007B4EC3"/>
    <w:rsid w:val="007B5B93"/>
    <w:rsid w:val="007B5E5B"/>
    <w:rsid w:val="007B63D1"/>
    <w:rsid w:val="007B6695"/>
    <w:rsid w:val="007B6931"/>
    <w:rsid w:val="007B6CF3"/>
    <w:rsid w:val="007C0290"/>
    <w:rsid w:val="007C0AB9"/>
    <w:rsid w:val="007C0BAD"/>
    <w:rsid w:val="007C0E50"/>
    <w:rsid w:val="007C107F"/>
    <w:rsid w:val="007C19FA"/>
    <w:rsid w:val="007C1ED8"/>
    <w:rsid w:val="007C21CF"/>
    <w:rsid w:val="007C225D"/>
    <w:rsid w:val="007C332B"/>
    <w:rsid w:val="007C33B2"/>
    <w:rsid w:val="007C3891"/>
    <w:rsid w:val="007C3D2C"/>
    <w:rsid w:val="007C3FE2"/>
    <w:rsid w:val="007C4FC4"/>
    <w:rsid w:val="007C5678"/>
    <w:rsid w:val="007C662A"/>
    <w:rsid w:val="007C6B6A"/>
    <w:rsid w:val="007C6CF8"/>
    <w:rsid w:val="007C6DEE"/>
    <w:rsid w:val="007C7C3D"/>
    <w:rsid w:val="007D04FF"/>
    <w:rsid w:val="007D082D"/>
    <w:rsid w:val="007D08CC"/>
    <w:rsid w:val="007D09B1"/>
    <w:rsid w:val="007D0AAE"/>
    <w:rsid w:val="007D0E38"/>
    <w:rsid w:val="007D0E7F"/>
    <w:rsid w:val="007D2259"/>
    <w:rsid w:val="007D2C99"/>
    <w:rsid w:val="007D2EDF"/>
    <w:rsid w:val="007D4792"/>
    <w:rsid w:val="007D480B"/>
    <w:rsid w:val="007D48FB"/>
    <w:rsid w:val="007D4FC6"/>
    <w:rsid w:val="007D56F2"/>
    <w:rsid w:val="007D58C7"/>
    <w:rsid w:val="007D5ACE"/>
    <w:rsid w:val="007D6D3D"/>
    <w:rsid w:val="007D6E95"/>
    <w:rsid w:val="007D71AA"/>
    <w:rsid w:val="007D775F"/>
    <w:rsid w:val="007D7BC5"/>
    <w:rsid w:val="007D7CA3"/>
    <w:rsid w:val="007D7F3A"/>
    <w:rsid w:val="007E0EEE"/>
    <w:rsid w:val="007E19AA"/>
    <w:rsid w:val="007E1ADA"/>
    <w:rsid w:val="007E2389"/>
    <w:rsid w:val="007E2A78"/>
    <w:rsid w:val="007E3AFB"/>
    <w:rsid w:val="007E3EAC"/>
    <w:rsid w:val="007E4486"/>
    <w:rsid w:val="007E44A1"/>
    <w:rsid w:val="007E54BC"/>
    <w:rsid w:val="007E594F"/>
    <w:rsid w:val="007E68B4"/>
    <w:rsid w:val="007E7412"/>
    <w:rsid w:val="007E76F4"/>
    <w:rsid w:val="007F0431"/>
    <w:rsid w:val="007F06DA"/>
    <w:rsid w:val="007F1133"/>
    <w:rsid w:val="007F140C"/>
    <w:rsid w:val="007F1C2E"/>
    <w:rsid w:val="007F20FA"/>
    <w:rsid w:val="007F218B"/>
    <w:rsid w:val="007F241B"/>
    <w:rsid w:val="007F2FD7"/>
    <w:rsid w:val="007F3405"/>
    <w:rsid w:val="007F359B"/>
    <w:rsid w:val="007F37DD"/>
    <w:rsid w:val="007F3A30"/>
    <w:rsid w:val="007F3EDA"/>
    <w:rsid w:val="007F3F99"/>
    <w:rsid w:val="007F407A"/>
    <w:rsid w:val="007F44AA"/>
    <w:rsid w:val="007F4BE4"/>
    <w:rsid w:val="007F4E1D"/>
    <w:rsid w:val="007F53D6"/>
    <w:rsid w:val="007F5C43"/>
    <w:rsid w:val="007F6712"/>
    <w:rsid w:val="007F712D"/>
    <w:rsid w:val="007F7150"/>
    <w:rsid w:val="007F7C04"/>
    <w:rsid w:val="0080176C"/>
    <w:rsid w:val="008024A6"/>
    <w:rsid w:val="00802572"/>
    <w:rsid w:val="008027F6"/>
    <w:rsid w:val="00803C38"/>
    <w:rsid w:val="00804573"/>
    <w:rsid w:val="0080462E"/>
    <w:rsid w:val="00806031"/>
    <w:rsid w:val="00806A8E"/>
    <w:rsid w:val="00807489"/>
    <w:rsid w:val="008077B5"/>
    <w:rsid w:val="008103AA"/>
    <w:rsid w:val="008114E2"/>
    <w:rsid w:val="0081163E"/>
    <w:rsid w:val="0081281C"/>
    <w:rsid w:val="008146C7"/>
    <w:rsid w:val="00814B1E"/>
    <w:rsid w:val="0081622F"/>
    <w:rsid w:val="008175C2"/>
    <w:rsid w:val="00817817"/>
    <w:rsid w:val="00817CCD"/>
    <w:rsid w:val="00820A88"/>
    <w:rsid w:val="00820E06"/>
    <w:rsid w:val="00821195"/>
    <w:rsid w:val="0082120C"/>
    <w:rsid w:val="00821391"/>
    <w:rsid w:val="00822A4A"/>
    <w:rsid w:val="0082384B"/>
    <w:rsid w:val="00824F4F"/>
    <w:rsid w:val="00825554"/>
    <w:rsid w:val="008257E6"/>
    <w:rsid w:val="00825DC6"/>
    <w:rsid w:val="00825ED2"/>
    <w:rsid w:val="00826074"/>
    <w:rsid w:val="008261EB"/>
    <w:rsid w:val="00826829"/>
    <w:rsid w:val="00827ACC"/>
    <w:rsid w:val="00830D33"/>
    <w:rsid w:val="00830EE3"/>
    <w:rsid w:val="008312CD"/>
    <w:rsid w:val="00831BA6"/>
    <w:rsid w:val="0083214B"/>
    <w:rsid w:val="0083215E"/>
    <w:rsid w:val="0083219B"/>
    <w:rsid w:val="00832424"/>
    <w:rsid w:val="00834750"/>
    <w:rsid w:val="008348E5"/>
    <w:rsid w:val="00834BE5"/>
    <w:rsid w:val="008355A6"/>
    <w:rsid w:val="00835CEE"/>
    <w:rsid w:val="00836350"/>
    <w:rsid w:val="00836C8F"/>
    <w:rsid w:val="0083717C"/>
    <w:rsid w:val="00837BCD"/>
    <w:rsid w:val="0084147F"/>
    <w:rsid w:val="008426EA"/>
    <w:rsid w:val="00842C08"/>
    <w:rsid w:val="00844685"/>
    <w:rsid w:val="008449A4"/>
    <w:rsid w:val="00844A71"/>
    <w:rsid w:val="00844C7E"/>
    <w:rsid w:val="00844E9C"/>
    <w:rsid w:val="00845500"/>
    <w:rsid w:val="00846C20"/>
    <w:rsid w:val="00847218"/>
    <w:rsid w:val="008478AA"/>
    <w:rsid w:val="00847C7F"/>
    <w:rsid w:val="00850D3E"/>
    <w:rsid w:val="008511D6"/>
    <w:rsid w:val="0085219D"/>
    <w:rsid w:val="0085239D"/>
    <w:rsid w:val="00852F1A"/>
    <w:rsid w:val="008543C3"/>
    <w:rsid w:val="008547E3"/>
    <w:rsid w:val="00854972"/>
    <w:rsid w:val="00854A01"/>
    <w:rsid w:val="00855BFA"/>
    <w:rsid w:val="00855FC8"/>
    <w:rsid w:val="008560E4"/>
    <w:rsid w:val="00857855"/>
    <w:rsid w:val="0085794B"/>
    <w:rsid w:val="00860F7C"/>
    <w:rsid w:val="008613D6"/>
    <w:rsid w:val="00861ED1"/>
    <w:rsid w:val="00862DA2"/>
    <w:rsid w:val="00864C0F"/>
    <w:rsid w:val="00865080"/>
    <w:rsid w:val="008652EC"/>
    <w:rsid w:val="00865C22"/>
    <w:rsid w:val="00865C3D"/>
    <w:rsid w:val="008663A7"/>
    <w:rsid w:val="00866659"/>
    <w:rsid w:val="008667E7"/>
    <w:rsid w:val="00867193"/>
    <w:rsid w:val="00867199"/>
    <w:rsid w:val="008676C8"/>
    <w:rsid w:val="00867B61"/>
    <w:rsid w:val="008707EF"/>
    <w:rsid w:val="00870816"/>
    <w:rsid w:val="00870EE8"/>
    <w:rsid w:val="00871AC1"/>
    <w:rsid w:val="00872322"/>
    <w:rsid w:val="008723E7"/>
    <w:rsid w:val="00872A36"/>
    <w:rsid w:val="008733A3"/>
    <w:rsid w:val="0087354D"/>
    <w:rsid w:val="00873F6D"/>
    <w:rsid w:val="0087473B"/>
    <w:rsid w:val="00874773"/>
    <w:rsid w:val="008753E8"/>
    <w:rsid w:val="0087571B"/>
    <w:rsid w:val="0087599D"/>
    <w:rsid w:val="00876668"/>
    <w:rsid w:val="00876691"/>
    <w:rsid w:val="00876AEA"/>
    <w:rsid w:val="00876BC9"/>
    <w:rsid w:val="00877530"/>
    <w:rsid w:val="0087781A"/>
    <w:rsid w:val="008809F2"/>
    <w:rsid w:val="008823D9"/>
    <w:rsid w:val="0088340D"/>
    <w:rsid w:val="00883C7E"/>
    <w:rsid w:val="008843B6"/>
    <w:rsid w:val="0088484C"/>
    <w:rsid w:val="00884950"/>
    <w:rsid w:val="00884D52"/>
    <w:rsid w:val="008857BF"/>
    <w:rsid w:val="00885932"/>
    <w:rsid w:val="008865A7"/>
    <w:rsid w:val="00886A51"/>
    <w:rsid w:val="008872C9"/>
    <w:rsid w:val="008877B0"/>
    <w:rsid w:val="00887FE2"/>
    <w:rsid w:val="0089038C"/>
    <w:rsid w:val="008905CC"/>
    <w:rsid w:val="0089077A"/>
    <w:rsid w:val="00891870"/>
    <w:rsid w:val="00891A52"/>
    <w:rsid w:val="00894F70"/>
    <w:rsid w:val="00894F8D"/>
    <w:rsid w:val="00895F05"/>
    <w:rsid w:val="008965B4"/>
    <w:rsid w:val="00896740"/>
    <w:rsid w:val="008969D2"/>
    <w:rsid w:val="00896FFE"/>
    <w:rsid w:val="0089792E"/>
    <w:rsid w:val="00897FA4"/>
    <w:rsid w:val="008A00F4"/>
    <w:rsid w:val="008A0636"/>
    <w:rsid w:val="008A12E7"/>
    <w:rsid w:val="008A147A"/>
    <w:rsid w:val="008A1857"/>
    <w:rsid w:val="008A31BC"/>
    <w:rsid w:val="008A3639"/>
    <w:rsid w:val="008A4261"/>
    <w:rsid w:val="008A42AF"/>
    <w:rsid w:val="008A4887"/>
    <w:rsid w:val="008A538F"/>
    <w:rsid w:val="008A5A8D"/>
    <w:rsid w:val="008A5AAD"/>
    <w:rsid w:val="008A661B"/>
    <w:rsid w:val="008A6E84"/>
    <w:rsid w:val="008A798C"/>
    <w:rsid w:val="008A7E94"/>
    <w:rsid w:val="008B0D14"/>
    <w:rsid w:val="008B0DDF"/>
    <w:rsid w:val="008B19AA"/>
    <w:rsid w:val="008B1B94"/>
    <w:rsid w:val="008B2A37"/>
    <w:rsid w:val="008B2ED5"/>
    <w:rsid w:val="008B44BF"/>
    <w:rsid w:val="008B551E"/>
    <w:rsid w:val="008B55D1"/>
    <w:rsid w:val="008B5BA1"/>
    <w:rsid w:val="008B6820"/>
    <w:rsid w:val="008B70C2"/>
    <w:rsid w:val="008C0AA1"/>
    <w:rsid w:val="008C0C34"/>
    <w:rsid w:val="008C0C80"/>
    <w:rsid w:val="008C0E64"/>
    <w:rsid w:val="008C1A8D"/>
    <w:rsid w:val="008C25A3"/>
    <w:rsid w:val="008C4182"/>
    <w:rsid w:val="008C43B6"/>
    <w:rsid w:val="008C46DE"/>
    <w:rsid w:val="008C5053"/>
    <w:rsid w:val="008C5832"/>
    <w:rsid w:val="008C5D72"/>
    <w:rsid w:val="008C642D"/>
    <w:rsid w:val="008C6553"/>
    <w:rsid w:val="008D008C"/>
    <w:rsid w:val="008D031B"/>
    <w:rsid w:val="008D0609"/>
    <w:rsid w:val="008D06A9"/>
    <w:rsid w:val="008D07D3"/>
    <w:rsid w:val="008D0D0A"/>
    <w:rsid w:val="008D0FFF"/>
    <w:rsid w:val="008D1036"/>
    <w:rsid w:val="008D121D"/>
    <w:rsid w:val="008D22D7"/>
    <w:rsid w:val="008D356A"/>
    <w:rsid w:val="008D364E"/>
    <w:rsid w:val="008D3AF6"/>
    <w:rsid w:val="008D51F4"/>
    <w:rsid w:val="008D5219"/>
    <w:rsid w:val="008D5339"/>
    <w:rsid w:val="008D5BB3"/>
    <w:rsid w:val="008D5DE3"/>
    <w:rsid w:val="008D6064"/>
    <w:rsid w:val="008D6365"/>
    <w:rsid w:val="008D652E"/>
    <w:rsid w:val="008D6AE7"/>
    <w:rsid w:val="008D767E"/>
    <w:rsid w:val="008D792C"/>
    <w:rsid w:val="008E0F00"/>
    <w:rsid w:val="008E172E"/>
    <w:rsid w:val="008E2690"/>
    <w:rsid w:val="008E27F7"/>
    <w:rsid w:val="008E3729"/>
    <w:rsid w:val="008E5215"/>
    <w:rsid w:val="008E5612"/>
    <w:rsid w:val="008E5A4D"/>
    <w:rsid w:val="008E5DD9"/>
    <w:rsid w:val="008E5F68"/>
    <w:rsid w:val="008E6532"/>
    <w:rsid w:val="008E6611"/>
    <w:rsid w:val="008E68DF"/>
    <w:rsid w:val="008E6C6E"/>
    <w:rsid w:val="008E738D"/>
    <w:rsid w:val="008F05EE"/>
    <w:rsid w:val="008F07AD"/>
    <w:rsid w:val="008F0EB8"/>
    <w:rsid w:val="008F160D"/>
    <w:rsid w:val="008F34B7"/>
    <w:rsid w:val="008F3852"/>
    <w:rsid w:val="008F3ED8"/>
    <w:rsid w:val="008F3F7E"/>
    <w:rsid w:val="008F42D4"/>
    <w:rsid w:val="008F4848"/>
    <w:rsid w:val="008F4C52"/>
    <w:rsid w:val="008F4DC0"/>
    <w:rsid w:val="008F514C"/>
    <w:rsid w:val="008F6AE7"/>
    <w:rsid w:val="008F78CC"/>
    <w:rsid w:val="008F7BAF"/>
    <w:rsid w:val="00900BD0"/>
    <w:rsid w:val="009013FD"/>
    <w:rsid w:val="00901553"/>
    <w:rsid w:val="00901FA6"/>
    <w:rsid w:val="00902464"/>
    <w:rsid w:val="00903339"/>
    <w:rsid w:val="0090344E"/>
    <w:rsid w:val="00904904"/>
    <w:rsid w:val="00905799"/>
    <w:rsid w:val="00905FB7"/>
    <w:rsid w:val="00906267"/>
    <w:rsid w:val="009064CF"/>
    <w:rsid w:val="009066D3"/>
    <w:rsid w:val="00906E33"/>
    <w:rsid w:val="00910097"/>
    <w:rsid w:val="009104B8"/>
    <w:rsid w:val="00910B7C"/>
    <w:rsid w:val="009114AC"/>
    <w:rsid w:val="00911719"/>
    <w:rsid w:val="009120BA"/>
    <w:rsid w:val="0091247C"/>
    <w:rsid w:val="00912E59"/>
    <w:rsid w:val="00913086"/>
    <w:rsid w:val="009133C9"/>
    <w:rsid w:val="0091371E"/>
    <w:rsid w:val="00913747"/>
    <w:rsid w:val="00914ADA"/>
    <w:rsid w:val="00915086"/>
    <w:rsid w:val="0091574A"/>
    <w:rsid w:val="00915A64"/>
    <w:rsid w:val="00915E9E"/>
    <w:rsid w:val="00916611"/>
    <w:rsid w:val="00916A76"/>
    <w:rsid w:val="0091703D"/>
    <w:rsid w:val="0091733B"/>
    <w:rsid w:val="009177A7"/>
    <w:rsid w:val="00917B86"/>
    <w:rsid w:val="00917D3E"/>
    <w:rsid w:val="00917DC9"/>
    <w:rsid w:val="00917E97"/>
    <w:rsid w:val="00920431"/>
    <w:rsid w:val="00920E82"/>
    <w:rsid w:val="00921F0F"/>
    <w:rsid w:val="009226C6"/>
    <w:rsid w:val="00923833"/>
    <w:rsid w:val="00923B76"/>
    <w:rsid w:val="00924120"/>
    <w:rsid w:val="00924269"/>
    <w:rsid w:val="00924802"/>
    <w:rsid w:val="00924836"/>
    <w:rsid w:val="009248BA"/>
    <w:rsid w:val="00924C8E"/>
    <w:rsid w:val="009250CE"/>
    <w:rsid w:val="00925723"/>
    <w:rsid w:val="00925DC7"/>
    <w:rsid w:val="00925E92"/>
    <w:rsid w:val="009260DB"/>
    <w:rsid w:val="0092684A"/>
    <w:rsid w:val="009269C7"/>
    <w:rsid w:val="00926A2F"/>
    <w:rsid w:val="009273DB"/>
    <w:rsid w:val="00927C78"/>
    <w:rsid w:val="00930C60"/>
    <w:rsid w:val="00930EA6"/>
    <w:rsid w:val="00931CA6"/>
    <w:rsid w:val="00932203"/>
    <w:rsid w:val="00932B36"/>
    <w:rsid w:val="00933275"/>
    <w:rsid w:val="009338BF"/>
    <w:rsid w:val="00933919"/>
    <w:rsid w:val="00933945"/>
    <w:rsid w:val="00934037"/>
    <w:rsid w:val="00934497"/>
    <w:rsid w:val="0093463B"/>
    <w:rsid w:val="0093482C"/>
    <w:rsid w:val="0093619F"/>
    <w:rsid w:val="009363FC"/>
    <w:rsid w:val="00936BDE"/>
    <w:rsid w:val="00936DFE"/>
    <w:rsid w:val="00937030"/>
    <w:rsid w:val="009405B0"/>
    <w:rsid w:val="00940815"/>
    <w:rsid w:val="009409DE"/>
    <w:rsid w:val="00941BE7"/>
    <w:rsid w:val="00941FBD"/>
    <w:rsid w:val="009428BA"/>
    <w:rsid w:val="00942BAD"/>
    <w:rsid w:val="009430E3"/>
    <w:rsid w:val="00944519"/>
    <w:rsid w:val="00944E1F"/>
    <w:rsid w:val="00945A06"/>
    <w:rsid w:val="0094644A"/>
    <w:rsid w:val="009466E6"/>
    <w:rsid w:val="00951143"/>
    <w:rsid w:val="00951570"/>
    <w:rsid w:val="00951BC2"/>
    <w:rsid w:val="00951F9C"/>
    <w:rsid w:val="0095274A"/>
    <w:rsid w:val="00953452"/>
    <w:rsid w:val="0095379B"/>
    <w:rsid w:val="009539D1"/>
    <w:rsid w:val="009543E8"/>
    <w:rsid w:val="0095542A"/>
    <w:rsid w:val="00956008"/>
    <w:rsid w:val="0095762E"/>
    <w:rsid w:val="00960332"/>
    <w:rsid w:val="009608EA"/>
    <w:rsid w:val="0096169C"/>
    <w:rsid w:val="009617DB"/>
    <w:rsid w:val="00962AAF"/>
    <w:rsid w:val="00963462"/>
    <w:rsid w:val="00963A25"/>
    <w:rsid w:val="00963F10"/>
    <w:rsid w:val="0096430E"/>
    <w:rsid w:val="00965BFD"/>
    <w:rsid w:val="00965DC7"/>
    <w:rsid w:val="0096604C"/>
    <w:rsid w:val="009662E9"/>
    <w:rsid w:val="009663C6"/>
    <w:rsid w:val="00966565"/>
    <w:rsid w:val="00966858"/>
    <w:rsid w:val="009671D4"/>
    <w:rsid w:val="00967FF5"/>
    <w:rsid w:val="00970A5C"/>
    <w:rsid w:val="00970A8A"/>
    <w:rsid w:val="00970FB1"/>
    <w:rsid w:val="00971468"/>
    <w:rsid w:val="009717B8"/>
    <w:rsid w:val="00971DEC"/>
    <w:rsid w:val="00971ED4"/>
    <w:rsid w:val="009721FB"/>
    <w:rsid w:val="0097253D"/>
    <w:rsid w:val="00972689"/>
    <w:rsid w:val="009727BC"/>
    <w:rsid w:val="00972962"/>
    <w:rsid w:val="00972B38"/>
    <w:rsid w:val="00972C1A"/>
    <w:rsid w:val="00972E8E"/>
    <w:rsid w:val="0097325B"/>
    <w:rsid w:val="00973337"/>
    <w:rsid w:val="0097357F"/>
    <w:rsid w:val="00974E44"/>
    <w:rsid w:val="00975233"/>
    <w:rsid w:val="009752D2"/>
    <w:rsid w:val="00975445"/>
    <w:rsid w:val="00975CA0"/>
    <w:rsid w:val="00976401"/>
    <w:rsid w:val="00977292"/>
    <w:rsid w:val="0097796B"/>
    <w:rsid w:val="00977AFB"/>
    <w:rsid w:val="0098014D"/>
    <w:rsid w:val="0098031A"/>
    <w:rsid w:val="0098124E"/>
    <w:rsid w:val="009822C9"/>
    <w:rsid w:val="009822ED"/>
    <w:rsid w:val="009828EC"/>
    <w:rsid w:val="00983DEB"/>
    <w:rsid w:val="00986440"/>
    <w:rsid w:val="00986868"/>
    <w:rsid w:val="00986F7C"/>
    <w:rsid w:val="0098782E"/>
    <w:rsid w:val="009902CE"/>
    <w:rsid w:val="00990340"/>
    <w:rsid w:val="00990851"/>
    <w:rsid w:val="00990BC0"/>
    <w:rsid w:val="0099128C"/>
    <w:rsid w:val="00991571"/>
    <w:rsid w:val="00991622"/>
    <w:rsid w:val="00991B2A"/>
    <w:rsid w:val="00993E14"/>
    <w:rsid w:val="00994A24"/>
    <w:rsid w:val="00995367"/>
    <w:rsid w:val="00995759"/>
    <w:rsid w:val="0099625E"/>
    <w:rsid w:val="009975BA"/>
    <w:rsid w:val="009A0CEE"/>
    <w:rsid w:val="009A110E"/>
    <w:rsid w:val="009A1291"/>
    <w:rsid w:val="009A1E2F"/>
    <w:rsid w:val="009A1F8C"/>
    <w:rsid w:val="009A212B"/>
    <w:rsid w:val="009A2867"/>
    <w:rsid w:val="009A28E6"/>
    <w:rsid w:val="009A3366"/>
    <w:rsid w:val="009A366D"/>
    <w:rsid w:val="009A4066"/>
    <w:rsid w:val="009A44BF"/>
    <w:rsid w:val="009A48C2"/>
    <w:rsid w:val="009A49BB"/>
    <w:rsid w:val="009A6CF2"/>
    <w:rsid w:val="009A6DF6"/>
    <w:rsid w:val="009A7A7E"/>
    <w:rsid w:val="009B14C0"/>
    <w:rsid w:val="009B2524"/>
    <w:rsid w:val="009B2791"/>
    <w:rsid w:val="009B2BEC"/>
    <w:rsid w:val="009B32B0"/>
    <w:rsid w:val="009B3C44"/>
    <w:rsid w:val="009B3CC5"/>
    <w:rsid w:val="009B41A3"/>
    <w:rsid w:val="009B468A"/>
    <w:rsid w:val="009B4884"/>
    <w:rsid w:val="009B53CA"/>
    <w:rsid w:val="009B5943"/>
    <w:rsid w:val="009B59EC"/>
    <w:rsid w:val="009B64BE"/>
    <w:rsid w:val="009C2BC0"/>
    <w:rsid w:val="009C32CB"/>
    <w:rsid w:val="009C360D"/>
    <w:rsid w:val="009C4078"/>
    <w:rsid w:val="009C47BA"/>
    <w:rsid w:val="009C5167"/>
    <w:rsid w:val="009C5AB9"/>
    <w:rsid w:val="009C5EC8"/>
    <w:rsid w:val="009C7EFE"/>
    <w:rsid w:val="009D0643"/>
    <w:rsid w:val="009D180B"/>
    <w:rsid w:val="009D1AE3"/>
    <w:rsid w:val="009D1CC5"/>
    <w:rsid w:val="009D2EEF"/>
    <w:rsid w:val="009D3016"/>
    <w:rsid w:val="009D358D"/>
    <w:rsid w:val="009D3C35"/>
    <w:rsid w:val="009D3DE8"/>
    <w:rsid w:val="009D40EF"/>
    <w:rsid w:val="009D7160"/>
    <w:rsid w:val="009D7C5C"/>
    <w:rsid w:val="009E0140"/>
    <w:rsid w:val="009E0148"/>
    <w:rsid w:val="009E0DF6"/>
    <w:rsid w:val="009E1399"/>
    <w:rsid w:val="009E1DA6"/>
    <w:rsid w:val="009E229D"/>
    <w:rsid w:val="009E2A3A"/>
    <w:rsid w:val="009E2CC6"/>
    <w:rsid w:val="009E379D"/>
    <w:rsid w:val="009E4F49"/>
    <w:rsid w:val="009E653A"/>
    <w:rsid w:val="009E6E14"/>
    <w:rsid w:val="009E70E5"/>
    <w:rsid w:val="009E7799"/>
    <w:rsid w:val="009F05D0"/>
    <w:rsid w:val="009F09B7"/>
    <w:rsid w:val="009F0DBC"/>
    <w:rsid w:val="009F1DB7"/>
    <w:rsid w:val="009F1DF4"/>
    <w:rsid w:val="009F2052"/>
    <w:rsid w:val="009F2208"/>
    <w:rsid w:val="009F3CD6"/>
    <w:rsid w:val="009F483C"/>
    <w:rsid w:val="009F4BC9"/>
    <w:rsid w:val="009F4F3C"/>
    <w:rsid w:val="009F4F6B"/>
    <w:rsid w:val="009F6415"/>
    <w:rsid w:val="009F6A77"/>
    <w:rsid w:val="009F7437"/>
    <w:rsid w:val="00A01E1E"/>
    <w:rsid w:val="00A0225F"/>
    <w:rsid w:val="00A02555"/>
    <w:rsid w:val="00A030F3"/>
    <w:rsid w:val="00A035B4"/>
    <w:rsid w:val="00A03B22"/>
    <w:rsid w:val="00A049BE"/>
    <w:rsid w:val="00A04ABB"/>
    <w:rsid w:val="00A06841"/>
    <w:rsid w:val="00A07AB0"/>
    <w:rsid w:val="00A07E72"/>
    <w:rsid w:val="00A10526"/>
    <w:rsid w:val="00A11EA2"/>
    <w:rsid w:val="00A1213D"/>
    <w:rsid w:val="00A12BEF"/>
    <w:rsid w:val="00A12E7C"/>
    <w:rsid w:val="00A141F1"/>
    <w:rsid w:val="00A15943"/>
    <w:rsid w:val="00A15FAF"/>
    <w:rsid w:val="00A17D8F"/>
    <w:rsid w:val="00A2033C"/>
    <w:rsid w:val="00A20E6C"/>
    <w:rsid w:val="00A21743"/>
    <w:rsid w:val="00A21BDC"/>
    <w:rsid w:val="00A22008"/>
    <w:rsid w:val="00A224EA"/>
    <w:rsid w:val="00A2264C"/>
    <w:rsid w:val="00A232F9"/>
    <w:rsid w:val="00A237F8"/>
    <w:rsid w:val="00A23EBC"/>
    <w:rsid w:val="00A23F98"/>
    <w:rsid w:val="00A246C7"/>
    <w:rsid w:val="00A24DBD"/>
    <w:rsid w:val="00A2524F"/>
    <w:rsid w:val="00A25F41"/>
    <w:rsid w:val="00A25FED"/>
    <w:rsid w:val="00A2611C"/>
    <w:rsid w:val="00A273E9"/>
    <w:rsid w:val="00A27470"/>
    <w:rsid w:val="00A274EA"/>
    <w:rsid w:val="00A27762"/>
    <w:rsid w:val="00A3071E"/>
    <w:rsid w:val="00A327FB"/>
    <w:rsid w:val="00A33247"/>
    <w:rsid w:val="00A33DB9"/>
    <w:rsid w:val="00A349B9"/>
    <w:rsid w:val="00A34E61"/>
    <w:rsid w:val="00A3667F"/>
    <w:rsid w:val="00A36A1A"/>
    <w:rsid w:val="00A3705E"/>
    <w:rsid w:val="00A370B6"/>
    <w:rsid w:val="00A3719A"/>
    <w:rsid w:val="00A409A0"/>
    <w:rsid w:val="00A40DB0"/>
    <w:rsid w:val="00A40E68"/>
    <w:rsid w:val="00A41A2B"/>
    <w:rsid w:val="00A42D85"/>
    <w:rsid w:val="00A43608"/>
    <w:rsid w:val="00A43F71"/>
    <w:rsid w:val="00A442E7"/>
    <w:rsid w:val="00A45F37"/>
    <w:rsid w:val="00A46134"/>
    <w:rsid w:val="00A462BF"/>
    <w:rsid w:val="00A464E0"/>
    <w:rsid w:val="00A46689"/>
    <w:rsid w:val="00A4765F"/>
    <w:rsid w:val="00A50BCE"/>
    <w:rsid w:val="00A50C52"/>
    <w:rsid w:val="00A5268C"/>
    <w:rsid w:val="00A52D41"/>
    <w:rsid w:val="00A53705"/>
    <w:rsid w:val="00A53E70"/>
    <w:rsid w:val="00A541C7"/>
    <w:rsid w:val="00A54343"/>
    <w:rsid w:val="00A54591"/>
    <w:rsid w:val="00A56558"/>
    <w:rsid w:val="00A56BB6"/>
    <w:rsid w:val="00A56CA6"/>
    <w:rsid w:val="00A570FA"/>
    <w:rsid w:val="00A578F0"/>
    <w:rsid w:val="00A57E34"/>
    <w:rsid w:val="00A600F3"/>
    <w:rsid w:val="00A60550"/>
    <w:rsid w:val="00A60AC0"/>
    <w:rsid w:val="00A615E0"/>
    <w:rsid w:val="00A623CD"/>
    <w:rsid w:val="00A63766"/>
    <w:rsid w:val="00A63AFB"/>
    <w:rsid w:val="00A63DF4"/>
    <w:rsid w:val="00A6424B"/>
    <w:rsid w:val="00A64C3D"/>
    <w:rsid w:val="00A650BD"/>
    <w:rsid w:val="00A65125"/>
    <w:rsid w:val="00A6531E"/>
    <w:rsid w:val="00A6533B"/>
    <w:rsid w:val="00A65A36"/>
    <w:rsid w:val="00A666AF"/>
    <w:rsid w:val="00A66A55"/>
    <w:rsid w:val="00A66FB6"/>
    <w:rsid w:val="00A67B4B"/>
    <w:rsid w:val="00A718E6"/>
    <w:rsid w:val="00A71D4A"/>
    <w:rsid w:val="00A71E53"/>
    <w:rsid w:val="00A71E87"/>
    <w:rsid w:val="00A71FCF"/>
    <w:rsid w:val="00A72A37"/>
    <w:rsid w:val="00A72E72"/>
    <w:rsid w:val="00A7330D"/>
    <w:rsid w:val="00A73916"/>
    <w:rsid w:val="00A74E4D"/>
    <w:rsid w:val="00A753B0"/>
    <w:rsid w:val="00A7573D"/>
    <w:rsid w:val="00A75B67"/>
    <w:rsid w:val="00A76043"/>
    <w:rsid w:val="00A7623C"/>
    <w:rsid w:val="00A7699F"/>
    <w:rsid w:val="00A77112"/>
    <w:rsid w:val="00A771B0"/>
    <w:rsid w:val="00A806C9"/>
    <w:rsid w:val="00A8173F"/>
    <w:rsid w:val="00A81C95"/>
    <w:rsid w:val="00A8267D"/>
    <w:rsid w:val="00A82BF0"/>
    <w:rsid w:val="00A82DDF"/>
    <w:rsid w:val="00A82E10"/>
    <w:rsid w:val="00A832ED"/>
    <w:rsid w:val="00A83663"/>
    <w:rsid w:val="00A84269"/>
    <w:rsid w:val="00A84441"/>
    <w:rsid w:val="00A851CA"/>
    <w:rsid w:val="00A85850"/>
    <w:rsid w:val="00A858E5"/>
    <w:rsid w:val="00A85A3A"/>
    <w:rsid w:val="00A85D4B"/>
    <w:rsid w:val="00A85DE2"/>
    <w:rsid w:val="00A85E72"/>
    <w:rsid w:val="00A86F97"/>
    <w:rsid w:val="00A87739"/>
    <w:rsid w:val="00A87965"/>
    <w:rsid w:val="00A91A34"/>
    <w:rsid w:val="00A92F25"/>
    <w:rsid w:val="00A93066"/>
    <w:rsid w:val="00A9411B"/>
    <w:rsid w:val="00A94474"/>
    <w:rsid w:val="00A94BA0"/>
    <w:rsid w:val="00A94D3B"/>
    <w:rsid w:val="00A9757E"/>
    <w:rsid w:val="00A97B1F"/>
    <w:rsid w:val="00A97F39"/>
    <w:rsid w:val="00AA0E94"/>
    <w:rsid w:val="00AA1047"/>
    <w:rsid w:val="00AA1908"/>
    <w:rsid w:val="00AA1C6C"/>
    <w:rsid w:val="00AA1CBF"/>
    <w:rsid w:val="00AA26AE"/>
    <w:rsid w:val="00AA2722"/>
    <w:rsid w:val="00AA39C7"/>
    <w:rsid w:val="00AA4375"/>
    <w:rsid w:val="00AA447D"/>
    <w:rsid w:val="00AA4482"/>
    <w:rsid w:val="00AA4DC1"/>
    <w:rsid w:val="00AA526B"/>
    <w:rsid w:val="00AA5DF8"/>
    <w:rsid w:val="00AA6575"/>
    <w:rsid w:val="00AA7D40"/>
    <w:rsid w:val="00AA7D4A"/>
    <w:rsid w:val="00AA7DC1"/>
    <w:rsid w:val="00AB044F"/>
    <w:rsid w:val="00AB1C64"/>
    <w:rsid w:val="00AB3741"/>
    <w:rsid w:val="00AB3A4A"/>
    <w:rsid w:val="00AB6758"/>
    <w:rsid w:val="00AB7125"/>
    <w:rsid w:val="00AB76B6"/>
    <w:rsid w:val="00AB7C92"/>
    <w:rsid w:val="00AC0877"/>
    <w:rsid w:val="00AC08E5"/>
    <w:rsid w:val="00AC0A68"/>
    <w:rsid w:val="00AC0E71"/>
    <w:rsid w:val="00AC0EEF"/>
    <w:rsid w:val="00AC1625"/>
    <w:rsid w:val="00AC1C21"/>
    <w:rsid w:val="00AC1CFD"/>
    <w:rsid w:val="00AC2247"/>
    <w:rsid w:val="00AC2EDD"/>
    <w:rsid w:val="00AC37E9"/>
    <w:rsid w:val="00AC4138"/>
    <w:rsid w:val="00AC43A8"/>
    <w:rsid w:val="00AC4972"/>
    <w:rsid w:val="00AC4CD4"/>
    <w:rsid w:val="00AC4E23"/>
    <w:rsid w:val="00AC52E7"/>
    <w:rsid w:val="00AC6013"/>
    <w:rsid w:val="00AC61AD"/>
    <w:rsid w:val="00AC6799"/>
    <w:rsid w:val="00AC6C1E"/>
    <w:rsid w:val="00AC7092"/>
    <w:rsid w:val="00AC79AD"/>
    <w:rsid w:val="00AC79B9"/>
    <w:rsid w:val="00AC7B15"/>
    <w:rsid w:val="00AC7FFD"/>
    <w:rsid w:val="00AD01F8"/>
    <w:rsid w:val="00AD0E57"/>
    <w:rsid w:val="00AD0F78"/>
    <w:rsid w:val="00AD20BA"/>
    <w:rsid w:val="00AD2694"/>
    <w:rsid w:val="00AD27E8"/>
    <w:rsid w:val="00AD29BC"/>
    <w:rsid w:val="00AD29D4"/>
    <w:rsid w:val="00AD2DD1"/>
    <w:rsid w:val="00AD2E77"/>
    <w:rsid w:val="00AD4061"/>
    <w:rsid w:val="00AD410D"/>
    <w:rsid w:val="00AD47B0"/>
    <w:rsid w:val="00AD52B5"/>
    <w:rsid w:val="00AD5AA4"/>
    <w:rsid w:val="00AD5FFD"/>
    <w:rsid w:val="00AD6459"/>
    <w:rsid w:val="00AD7439"/>
    <w:rsid w:val="00AD77BC"/>
    <w:rsid w:val="00AE0D05"/>
    <w:rsid w:val="00AE1102"/>
    <w:rsid w:val="00AE1166"/>
    <w:rsid w:val="00AE1978"/>
    <w:rsid w:val="00AE1C47"/>
    <w:rsid w:val="00AE21E4"/>
    <w:rsid w:val="00AE2A3A"/>
    <w:rsid w:val="00AE2B24"/>
    <w:rsid w:val="00AE2D74"/>
    <w:rsid w:val="00AE2D9C"/>
    <w:rsid w:val="00AE3396"/>
    <w:rsid w:val="00AE3E19"/>
    <w:rsid w:val="00AE42BF"/>
    <w:rsid w:val="00AE49B5"/>
    <w:rsid w:val="00AE4D3C"/>
    <w:rsid w:val="00AE61AD"/>
    <w:rsid w:val="00AE644C"/>
    <w:rsid w:val="00AE69A2"/>
    <w:rsid w:val="00AE6B9D"/>
    <w:rsid w:val="00AE6E15"/>
    <w:rsid w:val="00AE7039"/>
    <w:rsid w:val="00AE7A14"/>
    <w:rsid w:val="00AF02AE"/>
    <w:rsid w:val="00AF036C"/>
    <w:rsid w:val="00AF0F6B"/>
    <w:rsid w:val="00AF116D"/>
    <w:rsid w:val="00AF16F7"/>
    <w:rsid w:val="00AF281B"/>
    <w:rsid w:val="00AF2F78"/>
    <w:rsid w:val="00AF3DA6"/>
    <w:rsid w:val="00AF4104"/>
    <w:rsid w:val="00AF44B5"/>
    <w:rsid w:val="00AF69FD"/>
    <w:rsid w:val="00AF6A90"/>
    <w:rsid w:val="00AF6C07"/>
    <w:rsid w:val="00AF6CF4"/>
    <w:rsid w:val="00AF71D7"/>
    <w:rsid w:val="00AF725A"/>
    <w:rsid w:val="00AF75D7"/>
    <w:rsid w:val="00B00DB5"/>
    <w:rsid w:val="00B013AC"/>
    <w:rsid w:val="00B01593"/>
    <w:rsid w:val="00B0183B"/>
    <w:rsid w:val="00B02048"/>
    <w:rsid w:val="00B02322"/>
    <w:rsid w:val="00B02B5C"/>
    <w:rsid w:val="00B0394E"/>
    <w:rsid w:val="00B03A7F"/>
    <w:rsid w:val="00B042DE"/>
    <w:rsid w:val="00B04575"/>
    <w:rsid w:val="00B04D2B"/>
    <w:rsid w:val="00B059F8"/>
    <w:rsid w:val="00B06DDC"/>
    <w:rsid w:val="00B07311"/>
    <w:rsid w:val="00B10248"/>
    <w:rsid w:val="00B10F2D"/>
    <w:rsid w:val="00B11612"/>
    <w:rsid w:val="00B11C7C"/>
    <w:rsid w:val="00B12691"/>
    <w:rsid w:val="00B12ACD"/>
    <w:rsid w:val="00B12D96"/>
    <w:rsid w:val="00B131B4"/>
    <w:rsid w:val="00B1332F"/>
    <w:rsid w:val="00B15330"/>
    <w:rsid w:val="00B1687E"/>
    <w:rsid w:val="00B1711D"/>
    <w:rsid w:val="00B172B7"/>
    <w:rsid w:val="00B177A5"/>
    <w:rsid w:val="00B17BCB"/>
    <w:rsid w:val="00B2005E"/>
    <w:rsid w:val="00B203C1"/>
    <w:rsid w:val="00B20579"/>
    <w:rsid w:val="00B20972"/>
    <w:rsid w:val="00B21AF6"/>
    <w:rsid w:val="00B2253A"/>
    <w:rsid w:val="00B2260A"/>
    <w:rsid w:val="00B22A09"/>
    <w:rsid w:val="00B22AB7"/>
    <w:rsid w:val="00B22FA4"/>
    <w:rsid w:val="00B24FA2"/>
    <w:rsid w:val="00B26423"/>
    <w:rsid w:val="00B2695B"/>
    <w:rsid w:val="00B269B9"/>
    <w:rsid w:val="00B27574"/>
    <w:rsid w:val="00B35801"/>
    <w:rsid w:val="00B35969"/>
    <w:rsid w:val="00B36328"/>
    <w:rsid w:val="00B36690"/>
    <w:rsid w:val="00B36C53"/>
    <w:rsid w:val="00B37690"/>
    <w:rsid w:val="00B378EF"/>
    <w:rsid w:val="00B40FB1"/>
    <w:rsid w:val="00B413C4"/>
    <w:rsid w:val="00B41817"/>
    <w:rsid w:val="00B435D0"/>
    <w:rsid w:val="00B43FE4"/>
    <w:rsid w:val="00B441C6"/>
    <w:rsid w:val="00B4512F"/>
    <w:rsid w:val="00B468E6"/>
    <w:rsid w:val="00B47060"/>
    <w:rsid w:val="00B47490"/>
    <w:rsid w:val="00B474D3"/>
    <w:rsid w:val="00B50E39"/>
    <w:rsid w:val="00B514EE"/>
    <w:rsid w:val="00B519DB"/>
    <w:rsid w:val="00B52149"/>
    <w:rsid w:val="00B5240C"/>
    <w:rsid w:val="00B5339C"/>
    <w:rsid w:val="00B53583"/>
    <w:rsid w:val="00B53724"/>
    <w:rsid w:val="00B53936"/>
    <w:rsid w:val="00B53DA7"/>
    <w:rsid w:val="00B540D8"/>
    <w:rsid w:val="00B5486A"/>
    <w:rsid w:val="00B54A02"/>
    <w:rsid w:val="00B54F76"/>
    <w:rsid w:val="00B55C29"/>
    <w:rsid w:val="00B55FF4"/>
    <w:rsid w:val="00B56A73"/>
    <w:rsid w:val="00B56DAD"/>
    <w:rsid w:val="00B575E0"/>
    <w:rsid w:val="00B577FF"/>
    <w:rsid w:val="00B612E1"/>
    <w:rsid w:val="00B61342"/>
    <w:rsid w:val="00B619D5"/>
    <w:rsid w:val="00B6211B"/>
    <w:rsid w:val="00B62DE2"/>
    <w:rsid w:val="00B63F83"/>
    <w:rsid w:val="00B64392"/>
    <w:rsid w:val="00B6532E"/>
    <w:rsid w:val="00B66D20"/>
    <w:rsid w:val="00B66EF3"/>
    <w:rsid w:val="00B67325"/>
    <w:rsid w:val="00B6769E"/>
    <w:rsid w:val="00B67A88"/>
    <w:rsid w:val="00B70018"/>
    <w:rsid w:val="00B7095D"/>
    <w:rsid w:val="00B71277"/>
    <w:rsid w:val="00B718E1"/>
    <w:rsid w:val="00B71F04"/>
    <w:rsid w:val="00B73333"/>
    <w:rsid w:val="00B73556"/>
    <w:rsid w:val="00B73817"/>
    <w:rsid w:val="00B738D7"/>
    <w:rsid w:val="00B743C3"/>
    <w:rsid w:val="00B74453"/>
    <w:rsid w:val="00B744BA"/>
    <w:rsid w:val="00B75E52"/>
    <w:rsid w:val="00B7632B"/>
    <w:rsid w:val="00B766D3"/>
    <w:rsid w:val="00B76F3F"/>
    <w:rsid w:val="00B7747D"/>
    <w:rsid w:val="00B80D90"/>
    <w:rsid w:val="00B815D9"/>
    <w:rsid w:val="00B82E94"/>
    <w:rsid w:val="00B84AF2"/>
    <w:rsid w:val="00B860DA"/>
    <w:rsid w:val="00B86D72"/>
    <w:rsid w:val="00B87FDD"/>
    <w:rsid w:val="00B909D0"/>
    <w:rsid w:val="00B90D36"/>
    <w:rsid w:val="00B911AA"/>
    <w:rsid w:val="00B91385"/>
    <w:rsid w:val="00B91A14"/>
    <w:rsid w:val="00B91B1D"/>
    <w:rsid w:val="00B91E23"/>
    <w:rsid w:val="00B9294E"/>
    <w:rsid w:val="00B92D75"/>
    <w:rsid w:val="00B956D6"/>
    <w:rsid w:val="00B95A6E"/>
    <w:rsid w:val="00B95CFF"/>
    <w:rsid w:val="00B95DB6"/>
    <w:rsid w:val="00B96A91"/>
    <w:rsid w:val="00B96E33"/>
    <w:rsid w:val="00B97395"/>
    <w:rsid w:val="00B977E0"/>
    <w:rsid w:val="00BA0B6B"/>
    <w:rsid w:val="00BA0B72"/>
    <w:rsid w:val="00BA0BA7"/>
    <w:rsid w:val="00BA138F"/>
    <w:rsid w:val="00BA229A"/>
    <w:rsid w:val="00BA2A8B"/>
    <w:rsid w:val="00BA2DCE"/>
    <w:rsid w:val="00BA3072"/>
    <w:rsid w:val="00BA38EE"/>
    <w:rsid w:val="00BA4829"/>
    <w:rsid w:val="00BA48D1"/>
    <w:rsid w:val="00BA4A99"/>
    <w:rsid w:val="00BA4B24"/>
    <w:rsid w:val="00BA4C93"/>
    <w:rsid w:val="00BA77C9"/>
    <w:rsid w:val="00BA7B86"/>
    <w:rsid w:val="00BB00CF"/>
    <w:rsid w:val="00BB0D0B"/>
    <w:rsid w:val="00BB11FD"/>
    <w:rsid w:val="00BB1ED6"/>
    <w:rsid w:val="00BB2027"/>
    <w:rsid w:val="00BB22B6"/>
    <w:rsid w:val="00BB299A"/>
    <w:rsid w:val="00BB2BCE"/>
    <w:rsid w:val="00BB491C"/>
    <w:rsid w:val="00BB4AB3"/>
    <w:rsid w:val="00BB5399"/>
    <w:rsid w:val="00BB649D"/>
    <w:rsid w:val="00BB6525"/>
    <w:rsid w:val="00BB70D2"/>
    <w:rsid w:val="00BB70FC"/>
    <w:rsid w:val="00BC05DD"/>
    <w:rsid w:val="00BC0E1C"/>
    <w:rsid w:val="00BC12B7"/>
    <w:rsid w:val="00BC12DE"/>
    <w:rsid w:val="00BC19C8"/>
    <w:rsid w:val="00BC1ADF"/>
    <w:rsid w:val="00BC1AEE"/>
    <w:rsid w:val="00BC20C3"/>
    <w:rsid w:val="00BC21FA"/>
    <w:rsid w:val="00BC22BA"/>
    <w:rsid w:val="00BC2828"/>
    <w:rsid w:val="00BC472A"/>
    <w:rsid w:val="00BC50A7"/>
    <w:rsid w:val="00BC61B4"/>
    <w:rsid w:val="00BC61EF"/>
    <w:rsid w:val="00BC6563"/>
    <w:rsid w:val="00BC6B72"/>
    <w:rsid w:val="00BC71A9"/>
    <w:rsid w:val="00BC78C9"/>
    <w:rsid w:val="00BD1582"/>
    <w:rsid w:val="00BD1A2B"/>
    <w:rsid w:val="00BD1EB4"/>
    <w:rsid w:val="00BD2566"/>
    <w:rsid w:val="00BD2B22"/>
    <w:rsid w:val="00BD369B"/>
    <w:rsid w:val="00BD3813"/>
    <w:rsid w:val="00BD4880"/>
    <w:rsid w:val="00BD4FB6"/>
    <w:rsid w:val="00BD533D"/>
    <w:rsid w:val="00BD606D"/>
    <w:rsid w:val="00BD610E"/>
    <w:rsid w:val="00BD68F0"/>
    <w:rsid w:val="00BD6C91"/>
    <w:rsid w:val="00BD708B"/>
    <w:rsid w:val="00BD7222"/>
    <w:rsid w:val="00BD7FA7"/>
    <w:rsid w:val="00BE033B"/>
    <w:rsid w:val="00BE0FC5"/>
    <w:rsid w:val="00BE1748"/>
    <w:rsid w:val="00BE2035"/>
    <w:rsid w:val="00BE269C"/>
    <w:rsid w:val="00BE26E9"/>
    <w:rsid w:val="00BE26EC"/>
    <w:rsid w:val="00BE37FC"/>
    <w:rsid w:val="00BE3D04"/>
    <w:rsid w:val="00BE4255"/>
    <w:rsid w:val="00BE4933"/>
    <w:rsid w:val="00BE4F08"/>
    <w:rsid w:val="00BE58A0"/>
    <w:rsid w:val="00BE65F6"/>
    <w:rsid w:val="00BE6CDD"/>
    <w:rsid w:val="00BE7071"/>
    <w:rsid w:val="00BE7D6F"/>
    <w:rsid w:val="00BF07BD"/>
    <w:rsid w:val="00BF0AAA"/>
    <w:rsid w:val="00BF0BE2"/>
    <w:rsid w:val="00BF0DF6"/>
    <w:rsid w:val="00BF164C"/>
    <w:rsid w:val="00BF16B2"/>
    <w:rsid w:val="00BF22C3"/>
    <w:rsid w:val="00BF4450"/>
    <w:rsid w:val="00BF4A49"/>
    <w:rsid w:val="00BF501C"/>
    <w:rsid w:val="00BF5F42"/>
    <w:rsid w:val="00BF6131"/>
    <w:rsid w:val="00BF6378"/>
    <w:rsid w:val="00BF6DD7"/>
    <w:rsid w:val="00BF72B7"/>
    <w:rsid w:val="00BF77E6"/>
    <w:rsid w:val="00C0048A"/>
    <w:rsid w:val="00C00907"/>
    <w:rsid w:val="00C00E11"/>
    <w:rsid w:val="00C01803"/>
    <w:rsid w:val="00C01CEC"/>
    <w:rsid w:val="00C02B32"/>
    <w:rsid w:val="00C0370C"/>
    <w:rsid w:val="00C03C45"/>
    <w:rsid w:val="00C0429F"/>
    <w:rsid w:val="00C04674"/>
    <w:rsid w:val="00C04D01"/>
    <w:rsid w:val="00C05108"/>
    <w:rsid w:val="00C0516B"/>
    <w:rsid w:val="00C05BC9"/>
    <w:rsid w:val="00C05EEA"/>
    <w:rsid w:val="00C0732B"/>
    <w:rsid w:val="00C076C3"/>
    <w:rsid w:val="00C077AC"/>
    <w:rsid w:val="00C07BBE"/>
    <w:rsid w:val="00C10149"/>
    <w:rsid w:val="00C10265"/>
    <w:rsid w:val="00C10412"/>
    <w:rsid w:val="00C10744"/>
    <w:rsid w:val="00C126D5"/>
    <w:rsid w:val="00C14407"/>
    <w:rsid w:val="00C15FD4"/>
    <w:rsid w:val="00C16245"/>
    <w:rsid w:val="00C16455"/>
    <w:rsid w:val="00C16DC0"/>
    <w:rsid w:val="00C17232"/>
    <w:rsid w:val="00C20AE7"/>
    <w:rsid w:val="00C20D77"/>
    <w:rsid w:val="00C20DC8"/>
    <w:rsid w:val="00C220E7"/>
    <w:rsid w:val="00C224D8"/>
    <w:rsid w:val="00C22A5C"/>
    <w:rsid w:val="00C22B03"/>
    <w:rsid w:val="00C23751"/>
    <w:rsid w:val="00C237B3"/>
    <w:rsid w:val="00C23927"/>
    <w:rsid w:val="00C24A0E"/>
    <w:rsid w:val="00C25516"/>
    <w:rsid w:val="00C25BB3"/>
    <w:rsid w:val="00C2665D"/>
    <w:rsid w:val="00C26A74"/>
    <w:rsid w:val="00C26BFA"/>
    <w:rsid w:val="00C26D09"/>
    <w:rsid w:val="00C27865"/>
    <w:rsid w:val="00C27871"/>
    <w:rsid w:val="00C27D86"/>
    <w:rsid w:val="00C27E67"/>
    <w:rsid w:val="00C27F11"/>
    <w:rsid w:val="00C304CF"/>
    <w:rsid w:val="00C30758"/>
    <w:rsid w:val="00C3170D"/>
    <w:rsid w:val="00C320F4"/>
    <w:rsid w:val="00C3268F"/>
    <w:rsid w:val="00C32A9E"/>
    <w:rsid w:val="00C3376C"/>
    <w:rsid w:val="00C33C8E"/>
    <w:rsid w:val="00C34057"/>
    <w:rsid w:val="00C344CA"/>
    <w:rsid w:val="00C34672"/>
    <w:rsid w:val="00C34F1F"/>
    <w:rsid w:val="00C356D3"/>
    <w:rsid w:val="00C35BD0"/>
    <w:rsid w:val="00C36266"/>
    <w:rsid w:val="00C368CB"/>
    <w:rsid w:val="00C369B2"/>
    <w:rsid w:val="00C36EE9"/>
    <w:rsid w:val="00C37298"/>
    <w:rsid w:val="00C37DDD"/>
    <w:rsid w:val="00C41D54"/>
    <w:rsid w:val="00C422F6"/>
    <w:rsid w:val="00C42387"/>
    <w:rsid w:val="00C424DA"/>
    <w:rsid w:val="00C4286B"/>
    <w:rsid w:val="00C43DB8"/>
    <w:rsid w:val="00C43DBA"/>
    <w:rsid w:val="00C441E3"/>
    <w:rsid w:val="00C44ADD"/>
    <w:rsid w:val="00C4589E"/>
    <w:rsid w:val="00C45A8E"/>
    <w:rsid w:val="00C46B9C"/>
    <w:rsid w:val="00C46C0A"/>
    <w:rsid w:val="00C46C38"/>
    <w:rsid w:val="00C4728F"/>
    <w:rsid w:val="00C4730D"/>
    <w:rsid w:val="00C5060C"/>
    <w:rsid w:val="00C50BB2"/>
    <w:rsid w:val="00C5130A"/>
    <w:rsid w:val="00C51B4B"/>
    <w:rsid w:val="00C51BE6"/>
    <w:rsid w:val="00C51C90"/>
    <w:rsid w:val="00C5255D"/>
    <w:rsid w:val="00C53B1D"/>
    <w:rsid w:val="00C54032"/>
    <w:rsid w:val="00C5418C"/>
    <w:rsid w:val="00C55798"/>
    <w:rsid w:val="00C55EB2"/>
    <w:rsid w:val="00C56BB4"/>
    <w:rsid w:val="00C57820"/>
    <w:rsid w:val="00C5790E"/>
    <w:rsid w:val="00C57ECC"/>
    <w:rsid w:val="00C57EDE"/>
    <w:rsid w:val="00C605E7"/>
    <w:rsid w:val="00C609C1"/>
    <w:rsid w:val="00C60D5D"/>
    <w:rsid w:val="00C61E8A"/>
    <w:rsid w:val="00C62377"/>
    <w:rsid w:val="00C626B1"/>
    <w:rsid w:val="00C62C9C"/>
    <w:rsid w:val="00C630A2"/>
    <w:rsid w:val="00C6311F"/>
    <w:rsid w:val="00C634E7"/>
    <w:rsid w:val="00C63AB5"/>
    <w:rsid w:val="00C6404A"/>
    <w:rsid w:val="00C64466"/>
    <w:rsid w:val="00C6460B"/>
    <w:rsid w:val="00C64A2C"/>
    <w:rsid w:val="00C64E4C"/>
    <w:rsid w:val="00C65081"/>
    <w:rsid w:val="00C65790"/>
    <w:rsid w:val="00C66589"/>
    <w:rsid w:val="00C66795"/>
    <w:rsid w:val="00C710DB"/>
    <w:rsid w:val="00C71166"/>
    <w:rsid w:val="00C71E1E"/>
    <w:rsid w:val="00C723CE"/>
    <w:rsid w:val="00C73AA0"/>
    <w:rsid w:val="00C74257"/>
    <w:rsid w:val="00C74448"/>
    <w:rsid w:val="00C748CA"/>
    <w:rsid w:val="00C7494B"/>
    <w:rsid w:val="00C76A34"/>
    <w:rsid w:val="00C76FBD"/>
    <w:rsid w:val="00C7714B"/>
    <w:rsid w:val="00C774B3"/>
    <w:rsid w:val="00C77C0E"/>
    <w:rsid w:val="00C77EDA"/>
    <w:rsid w:val="00C805E4"/>
    <w:rsid w:val="00C80EC6"/>
    <w:rsid w:val="00C81388"/>
    <w:rsid w:val="00C81B8F"/>
    <w:rsid w:val="00C81E2B"/>
    <w:rsid w:val="00C82C9B"/>
    <w:rsid w:val="00C830BD"/>
    <w:rsid w:val="00C835F1"/>
    <w:rsid w:val="00C83C1C"/>
    <w:rsid w:val="00C83D3E"/>
    <w:rsid w:val="00C84062"/>
    <w:rsid w:val="00C8408F"/>
    <w:rsid w:val="00C84F67"/>
    <w:rsid w:val="00C85148"/>
    <w:rsid w:val="00C85682"/>
    <w:rsid w:val="00C85C0A"/>
    <w:rsid w:val="00C85F99"/>
    <w:rsid w:val="00C8694C"/>
    <w:rsid w:val="00C87A60"/>
    <w:rsid w:val="00C87CBA"/>
    <w:rsid w:val="00C87E8F"/>
    <w:rsid w:val="00C90084"/>
    <w:rsid w:val="00C9120D"/>
    <w:rsid w:val="00C91A54"/>
    <w:rsid w:val="00C92A9B"/>
    <w:rsid w:val="00C93176"/>
    <w:rsid w:val="00C934CC"/>
    <w:rsid w:val="00C93D60"/>
    <w:rsid w:val="00C94444"/>
    <w:rsid w:val="00C964D8"/>
    <w:rsid w:val="00C97373"/>
    <w:rsid w:val="00C9771B"/>
    <w:rsid w:val="00CA0637"/>
    <w:rsid w:val="00CA09CD"/>
    <w:rsid w:val="00CA0CE9"/>
    <w:rsid w:val="00CA1F3E"/>
    <w:rsid w:val="00CA3929"/>
    <w:rsid w:val="00CA3C7B"/>
    <w:rsid w:val="00CA4061"/>
    <w:rsid w:val="00CA41E9"/>
    <w:rsid w:val="00CA4443"/>
    <w:rsid w:val="00CA5199"/>
    <w:rsid w:val="00CA5475"/>
    <w:rsid w:val="00CA5BA7"/>
    <w:rsid w:val="00CA6343"/>
    <w:rsid w:val="00CA69CB"/>
    <w:rsid w:val="00CB0E5A"/>
    <w:rsid w:val="00CB175B"/>
    <w:rsid w:val="00CB1974"/>
    <w:rsid w:val="00CB2BF9"/>
    <w:rsid w:val="00CB3DD7"/>
    <w:rsid w:val="00CB3EDD"/>
    <w:rsid w:val="00CB45E7"/>
    <w:rsid w:val="00CB5362"/>
    <w:rsid w:val="00CB53FD"/>
    <w:rsid w:val="00CB55C4"/>
    <w:rsid w:val="00CB5E4D"/>
    <w:rsid w:val="00CB615E"/>
    <w:rsid w:val="00CB662F"/>
    <w:rsid w:val="00CB6C08"/>
    <w:rsid w:val="00CB6D21"/>
    <w:rsid w:val="00CB7A35"/>
    <w:rsid w:val="00CC1488"/>
    <w:rsid w:val="00CC16BF"/>
    <w:rsid w:val="00CC1C77"/>
    <w:rsid w:val="00CC4002"/>
    <w:rsid w:val="00CC50FE"/>
    <w:rsid w:val="00CC60FD"/>
    <w:rsid w:val="00CC676B"/>
    <w:rsid w:val="00CC679F"/>
    <w:rsid w:val="00CC6F03"/>
    <w:rsid w:val="00CC7512"/>
    <w:rsid w:val="00CC7BF5"/>
    <w:rsid w:val="00CD005B"/>
    <w:rsid w:val="00CD063F"/>
    <w:rsid w:val="00CD0C2B"/>
    <w:rsid w:val="00CD1195"/>
    <w:rsid w:val="00CD14F3"/>
    <w:rsid w:val="00CD1913"/>
    <w:rsid w:val="00CD1C4C"/>
    <w:rsid w:val="00CD1D94"/>
    <w:rsid w:val="00CD1DD1"/>
    <w:rsid w:val="00CD21EA"/>
    <w:rsid w:val="00CD24DB"/>
    <w:rsid w:val="00CD2D38"/>
    <w:rsid w:val="00CD355A"/>
    <w:rsid w:val="00CD3836"/>
    <w:rsid w:val="00CD4121"/>
    <w:rsid w:val="00CD44F1"/>
    <w:rsid w:val="00CD4C0A"/>
    <w:rsid w:val="00CD6901"/>
    <w:rsid w:val="00CD6B66"/>
    <w:rsid w:val="00CD6BE0"/>
    <w:rsid w:val="00CD6D50"/>
    <w:rsid w:val="00CE016C"/>
    <w:rsid w:val="00CE04DA"/>
    <w:rsid w:val="00CE1679"/>
    <w:rsid w:val="00CE218A"/>
    <w:rsid w:val="00CE3142"/>
    <w:rsid w:val="00CE3A32"/>
    <w:rsid w:val="00CE3D5C"/>
    <w:rsid w:val="00CE5512"/>
    <w:rsid w:val="00CE5FC6"/>
    <w:rsid w:val="00CE6748"/>
    <w:rsid w:val="00CE7114"/>
    <w:rsid w:val="00CF0649"/>
    <w:rsid w:val="00CF119E"/>
    <w:rsid w:val="00CF1260"/>
    <w:rsid w:val="00CF12E6"/>
    <w:rsid w:val="00CF2DE0"/>
    <w:rsid w:val="00CF32B7"/>
    <w:rsid w:val="00CF3556"/>
    <w:rsid w:val="00CF3842"/>
    <w:rsid w:val="00CF3D71"/>
    <w:rsid w:val="00CF4CE6"/>
    <w:rsid w:val="00CF4D68"/>
    <w:rsid w:val="00CF5B6A"/>
    <w:rsid w:val="00CF6BBF"/>
    <w:rsid w:val="00CF7392"/>
    <w:rsid w:val="00CF7E9B"/>
    <w:rsid w:val="00D0089A"/>
    <w:rsid w:val="00D014ED"/>
    <w:rsid w:val="00D01C2E"/>
    <w:rsid w:val="00D01E17"/>
    <w:rsid w:val="00D0223C"/>
    <w:rsid w:val="00D0375D"/>
    <w:rsid w:val="00D043BA"/>
    <w:rsid w:val="00D045C1"/>
    <w:rsid w:val="00D05270"/>
    <w:rsid w:val="00D067F2"/>
    <w:rsid w:val="00D073C0"/>
    <w:rsid w:val="00D07B94"/>
    <w:rsid w:val="00D07C54"/>
    <w:rsid w:val="00D11E41"/>
    <w:rsid w:val="00D12BEE"/>
    <w:rsid w:val="00D12CEA"/>
    <w:rsid w:val="00D12F84"/>
    <w:rsid w:val="00D12FB0"/>
    <w:rsid w:val="00D131DD"/>
    <w:rsid w:val="00D1350D"/>
    <w:rsid w:val="00D136ED"/>
    <w:rsid w:val="00D13AF0"/>
    <w:rsid w:val="00D13FDC"/>
    <w:rsid w:val="00D13FF6"/>
    <w:rsid w:val="00D14142"/>
    <w:rsid w:val="00D1451F"/>
    <w:rsid w:val="00D14725"/>
    <w:rsid w:val="00D15033"/>
    <w:rsid w:val="00D1516A"/>
    <w:rsid w:val="00D15173"/>
    <w:rsid w:val="00D1574B"/>
    <w:rsid w:val="00D1667F"/>
    <w:rsid w:val="00D166DA"/>
    <w:rsid w:val="00D16E16"/>
    <w:rsid w:val="00D17E12"/>
    <w:rsid w:val="00D219EA"/>
    <w:rsid w:val="00D22B9E"/>
    <w:rsid w:val="00D235B4"/>
    <w:rsid w:val="00D23AB0"/>
    <w:rsid w:val="00D24333"/>
    <w:rsid w:val="00D24FAA"/>
    <w:rsid w:val="00D25E4C"/>
    <w:rsid w:val="00D2781A"/>
    <w:rsid w:val="00D27C50"/>
    <w:rsid w:val="00D3023A"/>
    <w:rsid w:val="00D30A92"/>
    <w:rsid w:val="00D30B00"/>
    <w:rsid w:val="00D3164F"/>
    <w:rsid w:val="00D319D7"/>
    <w:rsid w:val="00D32F33"/>
    <w:rsid w:val="00D33133"/>
    <w:rsid w:val="00D336FE"/>
    <w:rsid w:val="00D337D1"/>
    <w:rsid w:val="00D33C22"/>
    <w:rsid w:val="00D355D0"/>
    <w:rsid w:val="00D3631F"/>
    <w:rsid w:val="00D366CF"/>
    <w:rsid w:val="00D368D4"/>
    <w:rsid w:val="00D36EE8"/>
    <w:rsid w:val="00D36F7A"/>
    <w:rsid w:val="00D37187"/>
    <w:rsid w:val="00D37710"/>
    <w:rsid w:val="00D37D9E"/>
    <w:rsid w:val="00D40A33"/>
    <w:rsid w:val="00D40E51"/>
    <w:rsid w:val="00D414A1"/>
    <w:rsid w:val="00D41768"/>
    <w:rsid w:val="00D422A0"/>
    <w:rsid w:val="00D428B1"/>
    <w:rsid w:val="00D42AEE"/>
    <w:rsid w:val="00D43F7C"/>
    <w:rsid w:val="00D4434F"/>
    <w:rsid w:val="00D44717"/>
    <w:rsid w:val="00D44BA1"/>
    <w:rsid w:val="00D454ED"/>
    <w:rsid w:val="00D45B86"/>
    <w:rsid w:val="00D45EC0"/>
    <w:rsid w:val="00D4650D"/>
    <w:rsid w:val="00D466A9"/>
    <w:rsid w:val="00D4693A"/>
    <w:rsid w:val="00D470FA"/>
    <w:rsid w:val="00D502E1"/>
    <w:rsid w:val="00D5048E"/>
    <w:rsid w:val="00D507B5"/>
    <w:rsid w:val="00D50BF9"/>
    <w:rsid w:val="00D50E53"/>
    <w:rsid w:val="00D513CB"/>
    <w:rsid w:val="00D518FB"/>
    <w:rsid w:val="00D52955"/>
    <w:rsid w:val="00D555F1"/>
    <w:rsid w:val="00D56400"/>
    <w:rsid w:val="00D6071C"/>
    <w:rsid w:val="00D622A8"/>
    <w:rsid w:val="00D6339D"/>
    <w:rsid w:val="00D63DD3"/>
    <w:rsid w:val="00D641B9"/>
    <w:rsid w:val="00D661A2"/>
    <w:rsid w:val="00D66254"/>
    <w:rsid w:val="00D67967"/>
    <w:rsid w:val="00D70735"/>
    <w:rsid w:val="00D70F99"/>
    <w:rsid w:val="00D71EA8"/>
    <w:rsid w:val="00D74AAB"/>
    <w:rsid w:val="00D75066"/>
    <w:rsid w:val="00D75374"/>
    <w:rsid w:val="00D754EC"/>
    <w:rsid w:val="00D76AF5"/>
    <w:rsid w:val="00D76C7E"/>
    <w:rsid w:val="00D817BC"/>
    <w:rsid w:val="00D81F3E"/>
    <w:rsid w:val="00D826E9"/>
    <w:rsid w:val="00D83892"/>
    <w:rsid w:val="00D8433E"/>
    <w:rsid w:val="00D84D20"/>
    <w:rsid w:val="00D84D74"/>
    <w:rsid w:val="00D85357"/>
    <w:rsid w:val="00D85941"/>
    <w:rsid w:val="00D85EA9"/>
    <w:rsid w:val="00D8663C"/>
    <w:rsid w:val="00D86B1B"/>
    <w:rsid w:val="00D86C09"/>
    <w:rsid w:val="00D90DBC"/>
    <w:rsid w:val="00D914DF"/>
    <w:rsid w:val="00D91CE7"/>
    <w:rsid w:val="00D91EC4"/>
    <w:rsid w:val="00D92671"/>
    <w:rsid w:val="00D93622"/>
    <w:rsid w:val="00D93863"/>
    <w:rsid w:val="00D95761"/>
    <w:rsid w:val="00D958D0"/>
    <w:rsid w:val="00D96383"/>
    <w:rsid w:val="00D966C6"/>
    <w:rsid w:val="00D9746B"/>
    <w:rsid w:val="00D97611"/>
    <w:rsid w:val="00D97BA2"/>
    <w:rsid w:val="00D97D64"/>
    <w:rsid w:val="00D97FA5"/>
    <w:rsid w:val="00DA0411"/>
    <w:rsid w:val="00DA072B"/>
    <w:rsid w:val="00DA09B2"/>
    <w:rsid w:val="00DA0E22"/>
    <w:rsid w:val="00DA1D57"/>
    <w:rsid w:val="00DA2239"/>
    <w:rsid w:val="00DA3055"/>
    <w:rsid w:val="00DA3613"/>
    <w:rsid w:val="00DA39C0"/>
    <w:rsid w:val="00DA49D7"/>
    <w:rsid w:val="00DA525D"/>
    <w:rsid w:val="00DA54DC"/>
    <w:rsid w:val="00DA5559"/>
    <w:rsid w:val="00DA5A53"/>
    <w:rsid w:val="00DA5BA0"/>
    <w:rsid w:val="00DA5E35"/>
    <w:rsid w:val="00DA650B"/>
    <w:rsid w:val="00DA6C8A"/>
    <w:rsid w:val="00DA6F57"/>
    <w:rsid w:val="00DA7A89"/>
    <w:rsid w:val="00DB12B0"/>
    <w:rsid w:val="00DB14D2"/>
    <w:rsid w:val="00DB1839"/>
    <w:rsid w:val="00DB1B70"/>
    <w:rsid w:val="00DB1D71"/>
    <w:rsid w:val="00DB2140"/>
    <w:rsid w:val="00DB2855"/>
    <w:rsid w:val="00DB3C6F"/>
    <w:rsid w:val="00DB3DF3"/>
    <w:rsid w:val="00DB3F19"/>
    <w:rsid w:val="00DB4446"/>
    <w:rsid w:val="00DB4B00"/>
    <w:rsid w:val="00DB4BE7"/>
    <w:rsid w:val="00DB4C73"/>
    <w:rsid w:val="00DB5A89"/>
    <w:rsid w:val="00DB5F36"/>
    <w:rsid w:val="00DB6082"/>
    <w:rsid w:val="00DB6357"/>
    <w:rsid w:val="00DB6786"/>
    <w:rsid w:val="00DB6C92"/>
    <w:rsid w:val="00DB6D5C"/>
    <w:rsid w:val="00DB71C1"/>
    <w:rsid w:val="00DB78CB"/>
    <w:rsid w:val="00DC034A"/>
    <w:rsid w:val="00DC0A8D"/>
    <w:rsid w:val="00DC1382"/>
    <w:rsid w:val="00DC14E1"/>
    <w:rsid w:val="00DC1A13"/>
    <w:rsid w:val="00DC1D91"/>
    <w:rsid w:val="00DC1E4A"/>
    <w:rsid w:val="00DC223C"/>
    <w:rsid w:val="00DC472C"/>
    <w:rsid w:val="00DC6CEC"/>
    <w:rsid w:val="00DC6E36"/>
    <w:rsid w:val="00DC73C9"/>
    <w:rsid w:val="00DC7A37"/>
    <w:rsid w:val="00DC7B9B"/>
    <w:rsid w:val="00DD12FA"/>
    <w:rsid w:val="00DD1629"/>
    <w:rsid w:val="00DD2A25"/>
    <w:rsid w:val="00DD313C"/>
    <w:rsid w:val="00DD4A73"/>
    <w:rsid w:val="00DD666F"/>
    <w:rsid w:val="00DD6A0B"/>
    <w:rsid w:val="00DD7A7E"/>
    <w:rsid w:val="00DE005E"/>
    <w:rsid w:val="00DE0791"/>
    <w:rsid w:val="00DE085F"/>
    <w:rsid w:val="00DE15E8"/>
    <w:rsid w:val="00DE191C"/>
    <w:rsid w:val="00DE25E3"/>
    <w:rsid w:val="00DE3CD6"/>
    <w:rsid w:val="00DE498E"/>
    <w:rsid w:val="00DE4A38"/>
    <w:rsid w:val="00DE5933"/>
    <w:rsid w:val="00DE5EB5"/>
    <w:rsid w:val="00DE64B1"/>
    <w:rsid w:val="00DE6A48"/>
    <w:rsid w:val="00DE6E50"/>
    <w:rsid w:val="00DE7BCD"/>
    <w:rsid w:val="00DF0223"/>
    <w:rsid w:val="00DF0679"/>
    <w:rsid w:val="00DF241B"/>
    <w:rsid w:val="00DF4508"/>
    <w:rsid w:val="00DF471B"/>
    <w:rsid w:val="00DF73B2"/>
    <w:rsid w:val="00E02358"/>
    <w:rsid w:val="00E03908"/>
    <w:rsid w:val="00E03A03"/>
    <w:rsid w:val="00E040AD"/>
    <w:rsid w:val="00E04360"/>
    <w:rsid w:val="00E044E2"/>
    <w:rsid w:val="00E04BC6"/>
    <w:rsid w:val="00E04E39"/>
    <w:rsid w:val="00E05243"/>
    <w:rsid w:val="00E052DF"/>
    <w:rsid w:val="00E052F0"/>
    <w:rsid w:val="00E0538B"/>
    <w:rsid w:val="00E056AF"/>
    <w:rsid w:val="00E059E7"/>
    <w:rsid w:val="00E05BB0"/>
    <w:rsid w:val="00E05DA4"/>
    <w:rsid w:val="00E061B0"/>
    <w:rsid w:val="00E0641A"/>
    <w:rsid w:val="00E0693E"/>
    <w:rsid w:val="00E07981"/>
    <w:rsid w:val="00E07B55"/>
    <w:rsid w:val="00E107E8"/>
    <w:rsid w:val="00E10BF2"/>
    <w:rsid w:val="00E10D29"/>
    <w:rsid w:val="00E11C0B"/>
    <w:rsid w:val="00E11D89"/>
    <w:rsid w:val="00E128E8"/>
    <w:rsid w:val="00E1295C"/>
    <w:rsid w:val="00E12FB0"/>
    <w:rsid w:val="00E1333C"/>
    <w:rsid w:val="00E13761"/>
    <w:rsid w:val="00E13DAF"/>
    <w:rsid w:val="00E1456C"/>
    <w:rsid w:val="00E15097"/>
    <w:rsid w:val="00E15ACA"/>
    <w:rsid w:val="00E16042"/>
    <w:rsid w:val="00E16ECD"/>
    <w:rsid w:val="00E17A3A"/>
    <w:rsid w:val="00E17F4F"/>
    <w:rsid w:val="00E2088C"/>
    <w:rsid w:val="00E20A7C"/>
    <w:rsid w:val="00E20AF9"/>
    <w:rsid w:val="00E210A2"/>
    <w:rsid w:val="00E218E1"/>
    <w:rsid w:val="00E21AD3"/>
    <w:rsid w:val="00E2283F"/>
    <w:rsid w:val="00E22D21"/>
    <w:rsid w:val="00E239AA"/>
    <w:rsid w:val="00E24F27"/>
    <w:rsid w:val="00E25A51"/>
    <w:rsid w:val="00E25F82"/>
    <w:rsid w:val="00E2755C"/>
    <w:rsid w:val="00E3061D"/>
    <w:rsid w:val="00E30DAD"/>
    <w:rsid w:val="00E312C9"/>
    <w:rsid w:val="00E31442"/>
    <w:rsid w:val="00E31B0D"/>
    <w:rsid w:val="00E33B5B"/>
    <w:rsid w:val="00E33F19"/>
    <w:rsid w:val="00E3401D"/>
    <w:rsid w:val="00E3406D"/>
    <w:rsid w:val="00E3416A"/>
    <w:rsid w:val="00E34CC0"/>
    <w:rsid w:val="00E34D6A"/>
    <w:rsid w:val="00E35589"/>
    <w:rsid w:val="00E36B15"/>
    <w:rsid w:val="00E3737E"/>
    <w:rsid w:val="00E37DA5"/>
    <w:rsid w:val="00E37E06"/>
    <w:rsid w:val="00E42569"/>
    <w:rsid w:val="00E4287F"/>
    <w:rsid w:val="00E42AA4"/>
    <w:rsid w:val="00E43A73"/>
    <w:rsid w:val="00E44D11"/>
    <w:rsid w:val="00E44F53"/>
    <w:rsid w:val="00E46A1F"/>
    <w:rsid w:val="00E46E8A"/>
    <w:rsid w:val="00E47079"/>
    <w:rsid w:val="00E47F6A"/>
    <w:rsid w:val="00E503D2"/>
    <w:rsid w:val="00E50B29"/>
    <w:rsid w:val="00E514B7"/>
    <w:rsid w:val="00E51A3E"/>
    <w:rsid w:val="00E51A9E"/>
    <w:rsid w:val="00E51B99"/>
    <w:rsid w:val="00E52498"/>
    <w:rsid w:val="00E524A8"/>
    <w:rsid w:val="00E534AB"/>
    <w:rsid w:val="00E5457C"/>
    <w:rsid w:val="00E54814"/>
    <w:rsid w:val="00E54AE1"/>
    <w:rsid w:val="00E5629C"/>
    <w:rsid w:val="00E563E1"/>
    <w:rsid w:val="00E56548"/>
    <w:rsid w:val="00E6092F"/>
    <w:rsid w:val="00E60A11"/>
    <w:rsid w:val="00E61F27"/>
    <w:rsid w:val="00E6205C"/>
    <w:rsid w:val="00E625CE"/>
    <w:rsid w:val="00E62BD4"/>
    <w:rsid w:val="00E6571C"/>
    <w:rsid w:val="00E66EE2"/>
    <w:rsid w:val="00E67FAE"/>
    <w:rsid w:val="00E67FD3"/>
    <w:rsid w:val="00E67FDB"/>
    <w:rsid w:val="00E70075"/>
    <w:rsid w:val="00E70E55"/>
    <w:rsid w:val="00E71EDD"/>
    <w:rsid w:val="00E71EEA"/>
    <w:rsid w:val="00E72289"/>
    <w:rsid w:val="00E727B6"/>
    <w:rsid w:val="00E72830"/>
    <w:rsid w:val="00E733B4"/>
    <w:rsid w:val="00E733C7"/>
    <w:rsid w:val="00E73E9E"/>
    <w:rsid w:val="00E740A8"/>
    <w:rsid w:val="00E7604E"/>
    <w:rsid w:val="00E76C2A"/>
    <w:rsid w:val="00E76F9B"/>
    <w:rsid w:val="00E77A48"/>
    <w:rsid w:val="00E77E17"/>
    <w:rsid w:val="00E80DF8"/>
    <w:rsid w:val="00E80FAB"/>
    <w:rsid w:val="00E822F8"/>
    <w:rsid w:val="00E8369B"/>
    <w:rsid w:val="00E83E87"/>
    <w:rsid w:val="00E84AA5"/>
    <w:rsid w:val="00E86D80"/>
    <w:rsid w:val="00E86F19"/>
    <w:rsid w:val="00E8731B"/>
    <w:rsid w:val="00E876BB"/>
    <w:rsid w:val="00E879C0"/>
    <w:rsid w:val="00E9042A"/>
    <w:rsid w:val="00E90826"/>
    <w:rsid w:val="00E908DD"/>
    <w:rsid w:val="00E90ECC"/>
    <w:rsid w:val="00E911A5"/>
    <w:rsid w:val="00E91772"/>
    <w:rsid w:val="00E92996"/>
    <w:rsid w:val="00E93416"/>
    <w:rsid w:val="00E93750"/>
    <w:rsid w:val="00E93EB7"/>
    <w:rsid w:val="00E949CC"/>
    <w:rsid w:val="00E94AB7"/>
    <w:rsid w:val="00E94E05"/>
    <w:rsid w:val="00E95822"/>
    <w:rsid w:val="00E95AF9"/>
    <w:rsid w:val="00E95B20"/>
    <w:rsid w:val="00E961F4"/>
    <w:rsid w:val="00E96208"/>
    <w:rsid w:val="00E96521"/>
    <w:rsid w:val="00E9726B"/>
    <w:rsid w:val="00EA05D7"/>
    <w:rsid w:val="00EA09F9"/>
    <w:rsid w:val="00EA0B27"/>
    <w:rsid w:val="00EA114B"/>
    <w:rsid w:val="00EA1504"/>
    <w:rsid w:val="00EA1F93"/>
    <w:rsid w:val="00EA43EE"/>
    <w:rsid w:val="00EA47C8"/>
    <w:rsid w:val="00EA5617"/>
    <w:rsid w:val="00EA56B0"/>
    <w:rsid w:val="00EA60F8"/>
    <w:rsid w:val="00EA64E9"/>
    <w:rsid w:val="00EA6668"/>
    <w:rsid w:val="00EA7305"/>
    <w:rsid w:val="00EA7854"/>
    <w:rsid w:val="00EA7EB1"/>
    <w:rsid w:val="00EB02F1"/>
    <w:rsid w:val="00EB08FB"/>
    <w:rsid w:val="00EB21CE"/>
    <w:rsid w:val="00EB2D17"/>
    <w:rsid w:val="00EB2F0D"/>
    <w:rsid w:val="00EB46D0"/>
    <w:rsid w:val="00EB4C59"/>
    <w:rsid w:val="00EB4D88"/>
    <w:rsid w:val="00EB59F5"/>
    <w:rsid w:val="00EB5C1C"/>
    <w:rsid w:val="00EB6766"/>
    <w:rsid w:val="00EB7162"/>
    <w:rsid w:val="00EB774C"/>
    <w:rsid w:val="00EC0009"/>
    <w:rsid w:val="00EC15A5"/>
    <w:rsid w:val="00EC16BD"/>
    <w:rsid w:val="00EC37EB"/>
    <w:rsid w:val="00EC478D"/>
    <w:rsid w:val="00EC5630"/>
    <w:rsid w:val="00EC5730"/>
    <w:rsid w:val="00EC69D8"/>
    <w:rsid w:val="00EC6ABE"/>
    <w:rsid w:val="00EC71F8"/>
    <w:rsid w:val="00ED030A"/>
    <w:rsid w:val="00ED0726"/>
    <w:rsid w:val="00ED0804"/>
    <w:rsid w:val="00ED0EFF"/>
    <w:rsid w:val="00ED0F57"/>
    <w:rsid w:val="00ED140A"/>
    <w:rsid w:val="00ED16C6"/>
    <w:rsid w:val="00ED38B3"/>
    <w:rsid w:val="00ED38C6"/>
    <w:rsid w:val="00ED3B65"/>
    <w:rsid w:val="00ED3EF7"/>
    <w:rsid w:val="00ED4D58"/>
    <w:rsid w:val="00ED5058"/>
    <w:rsid w:val="00ED53E7"/>
    <w:rsid w:val="00ED5B5D"/>
    <w:rsid w:val="00ED75F5"/>
    <w:rsid w:val="00ED7D6C"/>
    <w:rsid w:val="00EE0129"/>
    <w:rsid w:val="00EE01F3"/>
    <w:rsid w:val="00EE05FC"/>
    <w:rsid w:val="00EE0BEC"/>
    <w:rsid w:val="00EE0D09"/>
    <w:rsid w:val="00EE19C6"/>
    <w:rsid w:val="00EE28C1"/>
    <w:rsid w:val="00EE3464"/>
    <w:rsid w:val="00EE372F"/>
    <w:rsid w:val="00EE490A"/>
    <w:rsid w:val="00EE5008"/>
    <w:rsid w:val="00EE6F30"/>
    <w:rsid w:val="00EE7189"/>
    <w:rsid w:val="00EE76D6"/>
    <w:rsid w:val="00EE7CBA"/>
    <w:rsid w:val="00EF0414"/>
    <w:rsid w:val="00EF0AC1"/>
    <w:rsid w:val="00EF156A"/>
    <w:rsid w:val="00EF1B71"/>
    <w:rsid w:val="00EF1E4F"/>
    <w:rsid w:val="00EF2189"/>
    <w:rsid w:val="00EF2CB6"/>
    <w:rsid w:val="00EF3DDD"/>
    <w:rsid w:val="00EF4A8A"/>
    <w:rsid w:val="00EF4ECA"/>
    <w:rsid w:val="00EF4F5D"/>
    <w:rsid w:val="00EF65BD"/>
    <w:rsid w:val="00EF6FE8"/>
    <w:rsid w:val="00EF76CA"/>
    <w:rsid w:val="00EF7EB4"/>
    <w:rsid w:val="00F00747"/>
    <w:rsid w:val="00F01B20"/>
    <w:rsid w:val="00F03666"/>
    <w:rsid w:val="00F03891"/>
    <w:rsid w:val="00F0431A"/>
    <w:rsid w:val="00F05AC7"/>
    <w:rsid w:val="00F07254"/>
    <w:rsid w:val="00F10721"/>
    <w:rsid w:val="00F11660"/>
    <w:rsid w:val="00F116E8"/>
    <w:rsid w:val="00F119C8"/>
    <w:rsid w:val="00F12E33"/>
    <w:rsid w:val="00F12FE8"/>
    <w:rsid w:val="00F13FC9"/>
    <w:rsid w:val="00F14D5A"/>
    <w:rsid w:val="00F15103"/>
    <w:rsid w:val="00F15836"/>
    <w:rsid w:val="00F1599C"/>
    <w:rsid w:val="00F160F0"/>
    <w:rsid w:val="00F16527"/>
    <w:rsid w:val="00F17D3C"/>
    <w:rsid w:val="00F208DE"/>
    <w:rsid w:val="00F20B77"/>
    <w:rsid w:val="00F20BEA"/>
    <w:rsid w:val="00F216AD"/>
    <w:rsid w:val="00F2176F"/>
    <w:rsid w:val="00F21B59"/>
    <w:rsid w:val="00F22034"/>
    <w:rsid w:val="00F22704"/>
    <w:rsid w:val="00F239C2"/>
    <w:rsid w:val="00F2526B"/>
    <w:rsid w:val="00F25777"/>
    <w:rsid w:val="00F2676D"/>
    <w:rsid w:val="00F270CC"/>
    <w:rsid w:val="00F27B6F"/>
    <w:rsid w:val="00F27C5A"/>
    <w:rsid w:val="00F30AAE"/>
    <w:rsid w:val="00F31730"/>
    <w:rsid w:val="00F3219D"/>
    <w:rsid w:val="00F32391"/>
    <w:rsid w:val="00F327E0"/>
    <w:rsid w:val="00F32A37"/>
    <w:rsid w:val="00F32F03"/>
    <w:rsid w:val="00F339D9"/>
    <w:rsid w:val="00F347F5"/>
    <w:rsid w:val="00F34AA7"/>
    <w:rsid w:val="00F34F5B"/>
    <w:rsid w:val="00F35374"/>
    <w:rsid w:val="00F35A64"/>
    <w:rsid w:val="00F35D87"/>
    <w:rsid w:val="00F3635A"/>
    <w:rsid w:val="00F36460"/>
    <w:rsid w:val="00F3669C"/>
    <w:rsid w:val="00F367E2"/>
    <w:rsid w:val="00F37320"/>
    <w:rsid w:val="00F404A3"/>
    <w:rsid w:val="00F415E6"/>
    <w:rsid w:val="00F44388"/>
    <w:rsid w:val="00F4484B"/>
    <w:rsid w:val="00F45B36"/>
    <w:rsid w:val="00F46543"/>
    <w:rsid w:val="00F465F1"/>
    <w:rsid w:val="00F4668F"/>
    <w:rsid w:val="00F46850"/>
    <w:rsid w:val="00F46C05"/>
    <w:rsid w:val="00F46EE9"/>
    <w:rsid w:val="00F47494"/>
    <w:rsid w:val="00F5023F"/>
    <w:rsid w:val="00F50CEB"/>
    <w:rsid w:val="00F50F10"/>
    <w:rsid w:val="00F5105B"/>
    <w:rsid w:val="00F513B1"/>
    <w:rsid w:val="00F515AA"/>
    <w:rsid w:val="00F51A3E"/>
    <w:rsid w:val="00F525CC"/>
    <w:rsid w:val="00F52896"/>
    <w:rsid w:val="00F52D8A"/>
    <w:rsid w:val="00F53760"/>
    <w:rsid w:val="00F53AFD"/>
    <w:rsid w:val="00F54269"/>
    <w:rsid w:val="00F54AA9"/>
    <w:rsid w:val="00F606E7"/>
    <w:rsid w:val="00F619C0"/>
    <w:rsid w:val="00F62148"/>
    <w:rsid w:val="00F63809"/>
    <w:rsid w:val="00F64159"/>
    <w:rsid w:val="00F64BD5"/>
    <w:rsid w:val="00F6510D"/>
    <w:rsid w:val="00F65403"/>
    <w:rsid w:val="00F657A6"/>
    <w:rsid w:val="00F66FC0"/>
    <w:rsid w:val="00F678BC"/>
    <w:rsid w:val="00F702BB"/>
    <w:rsid w:val="00F706C0"/>
    <w:rsid w:val="00F718F9"/>
    <w:rsid w:val="00F71B2A"/>
    <w:rsid w:val="00F71D3E"/>
    <w:rsid w:val="00F7283C"/>
    <w:rsid w:val="00F728AD"/>
    <w:rsid w:val="00F72C43"/>
    <w:rsid w:val="00F73C3F"/>
    <w:rsid w:val="00F745D5"/>
    <w:rsid w:val="00F756AD"/>
    <w:rsid w:val="00F76A94"/>
    <w:rsid w:val="00F7727B"/>
    <w:rsid w:val="00F80F04"/>
    <w:rsid w:val="00F81433"/>
    <w:rsid w:val="00F837F3"/>
    <w:rsid w:val="00F8381A"/>
    <w:rsid w:val="00F839E9"/>
    <w:rsid w:val="00F850D9"/>
    <w:rsid w:val="00F857BA"/>
    <w:rsid w:val="00F90D61"/>
    <w:rsid w:val="00F90DF9"/>
    <w:rsid w:val="00F91417"/>
    <w:rsid w:val="00F917B4"/>
    <w:rsid w:val="00F91921"/>
    <w:rsid w:val="00F91D83"/>
    <w:rsid w:val="00F91DD9"/>
    <w:rsid w:val="00F9219A"/>
    <w:rsid w:val="00F925A6"/>
    <w:rsid w:val="00F9280A"/>
    <w:rsid w:val="00F929C9"/>
    <w:rsid w:val="00F93DF3"/>
    <w:rsid w:val="00F94A89"/>
    <w:rsid w:val="00F94B90"/>
    <w:rsid w:val="00F958C2"/>
    <w:rsid w:val="00F958FC"/>
    <w:rsid w:val="00F962E3"/>
    <w:rsid w:val="00F9703E"/>
    <w:rsid w:val="00F9795D"/>
    <w:rsid w:val="00FA12AA"/>
    <w:rsid w:val="00FA1B11"/>
    <w:rsid w:val="00FA361F"/>
    <w:rsid w:val="00FA4259"/>
    <w:rsid w:val="00FA4834"/>
    <w:rsid w:val="00FA48C4"/>
    <w:rsid w:val="00FA4EB7"/>
    <w:rsid w:val="00FA5A32"/>
    <w:rsid w:val="00FA6EF0"/>
    <w:rsid w:val="00FB114A"/>
    <w:rsid w:val="00FB2DB0"/>
    <w:rsid w:val="00FB2DB4"/>
    <w:rsid w:val="00FB3E53"/>
    <w:rsid w:val="00FB4E23"/>
    <w:rsid w:val="00FB58B6"/>
    <w:rsid w:val="00FB62FC"/>
    <w:rsid w:val="00FB67A8"/>
    <w:rsid w:val="00FB6CFA"/>
    <w:rsid w:val="00FB6F04"/>
    <w:rsid w:val="00FB6F8C"/>
    <w:rsid w:val="00FB725C"/>
    <w:rsid w:val="00FC024A"/>
    <w:rsid w:val="00FC0B4F"/>
    <w:rsid w:val="00FC11A3"/>
    <w:rsid w:val="00FC45DC"/>
    <w:rsid w:val="00FC4813"/>
    <w:rsid w:val="00FC7799"/>
    <w:rsid w:val="00FC7B19"/>
    <w:rsid w:val="00FC7C2D"/>
    <w:rsid w:val="00FD07F0"/>
    <w:rsid w:val="00FD0D5D"/>
    <w:rsid w:val="00FD1586"/>
    <w:rsid w:val="00FD2362"/>
    <w:rsid w:val="00FD3248"/>
    <w:rsid w:val="00FD40F3"/>
    <w:rsid w:val="00FD42D8"/>
    <w:rsid w:val="00FD56E5"/>
    <w:rsid w:val="00FD67CD"/>
    <w:rsid w:val="00FD68AC"/>
    <w:rsid w:val="00FD70B8"/>
    <w:rsid w:val="00FE0503"/>
    <w:rsid w:val="00FE0676"/>
    <w:rsid w:val="00FE0689"/>
    <w:rsid w:val="00FE0BE9"/>
    <w:rsid w:val="00FE0EF3"/>
    <w:rsid w:val="00FE1E98"/>
    <w:rsid w:val="00FE202C"/>
    <w:rsid w:val="00FE261F"/>
    <w:rsid w:val="00FE26DD"/>
    <w:rsid w:val="00FE285D"/>
    <w:rsid w:val="00FE3155"/>
    <w:rsid w:val="00FE3412"/>
    <w:rsid w:val="00FE385E"/>
    <w:rsid w:val="00FE38EB"/>
    <w:rsid w:val="00FE3D50"/>
    <w:rsid w:val="00FE3D63"/>
    <w:rsid w:val="00FE5B91"/>
    <w:rsid w:val="00FE658C"/>
    <w:rsid w:val="00FE69AE"/>
    <w:rsid w:val="00FE6C16"/>
    <w:rsid w:val="00FE709B"/>
    <w:rsid w:val="00FE71DB"/>
    <w:rsid w:val="00FE7EA8"/>
    <w:rsid w:val="00FF036F"/>
    <w:rsid w:val="00FF07BE"/>
    <w:rsid w:val="00FF0F60"/>
    <w:rsid w:val="00FF1066"/>
    <w:rsid w:val="00FF1924"/>
    <w:rsid w:val="00FF1D38"/>
    <w:rsid w:val="00FF23A1"/>
    <w:rsid w:val="00FF2633"/>
    <w:rsid w:val="00FF3B3C"/>
    <w:rsid w:val="00FF5570"/>
    <w:rsid w:val="00FF5FB0"/>
    <w:rsid w:val="00FF60CE"/>
    <w:rsid w:val="00FF619A"/>
    <w:rsid w:val="00FF61B3"/>
    <w:rsid w:val="00FF72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51342F-B314-4FEC-900B-0564E4C8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539"/>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342"/>
    <w:rPr>
      <w:sz w:val="24"/>
      <w:szCs w:val="24"/>
    </w:rPr>
  </w:style>
  <w:style w:type="paragraph" w:styleId="Heading1">
    <w:name w:val="heading 1"/>
    <w:basedOn w:val="Normal"/>
    <w:next w:val="Normal"/>
    <w:qFormat/>
    <w:rsid w:val="00B61342"/>
    <w:pPr>
      <w:keepNext/>
      <w:outlineLvl w:val="0"/>
    </w:pPr>
    <w:rPr>
      <w:b/>
      <w:bCs/>
      <w:u w:val="single"/>
    </w:rPr>
  </w:style>
  <w:style w:type="paragraph" w:styleId="Heading2">
    <w:name w:val="heading 2"/>
    <w:basedOn w:val="Normal"/>
    <w:next w:val="Normal"/>
    <w:link w:val="Heading2Char"/>
    <w:qFormat/>
    <w:rsid w:val="00BC78C9"/>
    <w:pPr>
      <w:keepNext/>
      <w:outlineLvl w:val="1"/>
    </w:pPr>
    <w:rPr>
      <w:i/>
      <w:iCs/>
      <w:color w:val="0070C0"/>
    </w:rPr>
  </w:style>
  <w:style w:type="paragraph" w:styleId="Heading3">
    <w:name w:val="heading 3"/>
    <w:basedOn w:val="Footer"/>
    <w:next w:val="Normal"/>
    <w:qFormat/>
    <w:rsid w:val="005A28C1"/>
    <w:pPr>
      <w:tabs>
        <w:tab w:val="clear" w:pos="4320"/>
        <w:tab w:val="clear" w:pos="8640"/>
      </w:tabs>
      <w:ind w:left="-540"/>
      <w:contextualSpacing/>
      <w:outlineLvl w:val="2"/>
    </w:pPr>
    <w:rPr>
      <w:b/>
      <w:smallCaps/>
      <w:sz w:val="22"/>
      <w:szCs w:val="22"/>
      <w:lang w:val="en-GB"/>
    </w:rPr>
  </w:style>
  <w:style w:type="paragraph" w:styleId="Heading4">
    <w:name w:val="heading 4"/>
    <w:basedOn w:val="Footer"/>
    <w:next w:val="Normal"/>
    <w:qFormat/>
    <w:rsid w:val="005A28C1"/>
    <w:pPr>
      <w:tabs>
        <w:tab w:val="clear" w:pos="4320"/>
        <w:tab w:val="clear" w:pos="8640"/>
      </w:tabs>
      <w:ind w:left="-540"/>
      <w:contextualSpacing/>
      <w:outlineLvl w:val="3"/>
    </w:pPr>
    <w:rPr>
      <w:b/>
      <w:sz w:val="22"/>
      <w:szCs w:val="22"/>
      <w:lang w:val="en-GB"/>
    </w:rPr>
  </w:style>
  <w:style w:type="paragraph" w:styleId="Heading5">
    <w:name w:val="heading 5"/>
    <w:basedOn w:val="Footer"/>
    <w:next w:val="Normal"/>
    <w:qFormat/>
    <w:rsid w:val="005A28C1"/>
    <w:pPr>
      <w:tabs>
        <w:tab w:val="clear" w:pos="4320"/>
        <w:tab w:val="clear" w:pos="8640"/>
      </w:tabs>
      <w:ind w:left="-540"/>
      <w:contextualSpacing/>
      <w:outlineLvl w:val="4"/>
    </w:pPr>
    <w:rPr>
      <w:b/>
      <w:sz w:val="22"/>
      <w:szCs w:val="22"/>
      <w:lang w:val="en-GB"/>
    </w:rPr>
  </w:style>
  <w:style w:type="paragraph" w:styleId="Heading6">
    <w:name w:val="heading 6"/>
    <w:basedOn w:val="Normal"/>
    <w:next w:val="Normal"/>
    <w:qFormat/>
    <w:rsid w:val="00B61342"/>
    <w:pPr>
      <w:keepNext/>
      <w:ind w:left="360"/>
      <w:outlineLvl w:val="5"/>
    </w:pPr>
    <w:rPr>
      <w:b/>
      <w:bCs/>
      <w:smallCaps/>
    </w:rPr>
  </w:style>
  <w:style w:type="paragraph" w:styleId="Heading7">
    <w:name w:val="heading 7"/>
    <w:basedOn w:val="Normal"/>
    <w:next w:val="Normal"/>
    <w:qFormat/>
    <w:rsid w:val="00B61342"/>
    <w:pPr>
      <w:keepNext/>
      <w:outlineLvl w:val="6"/>
    </w:pPr>
    <w:rPr>
      <w:b/>
      <w:bCs/>
      <w:sz w:val="20"/>
    </w:rPr>
  </w:style>
  <w:style w:type="paragraph" w:styleId="Heading8">
    <w:name w:val="heading 8"/>
    <w:basedOn w:val="Normal"/>
    <w:next w:val="Normal"/>
    <w:qFormat/>
    <w:rsid w:val="00B61342"/>
    <w:pPr>
      <w:keepNext/>
      <w:jc w:val="center"/>
      <w:outlineLvl w:val="7"/>
    </w:pPr>
    <w:rPr>
      <w:b/>
      <w:bCs/>
      <w:sz w:val="20"/>
    </w:rPr>
  </w:style>
  <w:style w:type="paragraph" w:styleId="Heading9">
    <w:name w:val="heading 9"/>
    <w:basedOn w:val="Normal"/>
    <w:next w:val="Normal"/>
    <w:qFormat/>
    <w:rsid w:val="00B61342"/>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1342"/>
    <w:pPr>
      <w:tabs>
        <w:tab w:val="center" w:pos="4320"/>
        <w:tab w:val="right" w:pos="8640"/>
      </w:tabs>
    </w:pPr>
  </w:style>
  <w:style w:type="character" w:styleId="PageNumber">
    <w:name w:val="page number"/>
    <w:basedOn w:val="DefaultParagraphFont"/>
    <w:uiPriority w:val="99"/>
    <w:rsid w:val="00B61342"/>
  </w:style>
  <w:style w:type="paragraph" w:styleId="Header">
    <w:name w:val="header"/>
    <w:basedOn w:val="Normal"/>
    <w:link w:val="HeaderChar"/>
    <w:uiPriority w:val="99"/>
    <w:rsid w:val="00B61342"/>
    <w:pPr>
      <w:tabs>
        <w:tab w:val="center" w:pos="4320"/>
        <w:tab w:val="right" w:pos="8640"/>
      </w:tabs>
    </w:pPr>
  </w:style>
  <w:style w:type="paragraph" w:styleId="BodyText">
    <w:name w:val="Body Text"/>
    <w:basedOn w:val="Normal"/>
    <w:rsid w:val="00B61342"/>
    <w:pPr>
      <w:framePr w:w="3801" w:h="5761" w:hSpace="180" w:wrap="around" w:vAnchor="text" w:hAnchor="page" w:x="6961" w:y="1165"/>
    </w:pPr>
    <w:rPr>
      <w:sz w:val="20"/>
    </w:rPr>
  </w:style>
  <w:style w:type="paragraph" w:styleId="Caption">
    <w:name w:val="caption"/>
    <w:basedOn w:val="Normal"/>
    <w:next w:val="Normal"/>
    <w:qFormat/>
    <w:rsid w:val="00B61342"/>
    <w:rPr>
      <w:rFonts w:ascii="Times New Roman Bold" w:hAnsi="Times New Roman Bold"/>
      <w:b/>
      <w:bCs/>
      <w:caps/>
    </w:rPr>
  </w:style>
  <w:style w:type="paragraph" w:styleId="BodyText2">
    <w:name w:val="Body Text 2"/>
    <w:basedOn w:val="Normal"/>
    <w:rsid w:val="00B61342"/>
    <w:rPr>
      <w:b/>
      <w:bCs/>
      <w:smallCaps/>
    </w:rPr>
  </w:style>
  <w:style w:type="paragraph" w:customStyle="1" w:styleId="Outline">
    <w:name w:val="Outline"/>
    <w:basedOn w:val="Normal"/>
    <w:rsid w:val="00B61342"/>
    <w:pPr>
      <w:spacing w:before="240"/>
    </w:pPr>
    <w:rPr>
      <w:kern w:val="28"/>
      <w:szCs w:val="20"/>
    </w:rPr>
  </w:style>
  <w:style w:type="paragraph" w:styleId="BodyTextIndent2">
    <w:name w:val="Body Text Indent 2"/>
    <w:basedOn w:val="Normal"/>
    <w:rsid w:val="00B61342"/>
    <w:pPr>
      <w:ind w:left="360"/>
    </w:pPr>
    <w:rPr>
      <w:i/>
      <w:iCs/>
      <w:sz w:val="22"/>
    </w:rPr>
  </w:style>
  <w:style w:type="character" w:styleId="Hyperlink">
    <w:name w:val="Hyperlink"/>
    <w:rsid w:val="00B61342"/>
    <w:rPr>
      <w:color w:val="0000FF"/>
      <w:u w:val="single"/>
    </w:rPr>
  </w:style>
  <w:style w:type="paragraph" w:styleId="BodyTextIndent">
    <w:name w:val="Body Text Indent"/>
    <w:basedOn w:val="Normal"/>
    <w:rsid w:val="00B61342"/>
    <w:pPr>
      <w:spacing w:after="80"/>
      <w:ind w:left="1080"/>
      <w:jc w:val="both"/>
    </w:pPr>
  </w:style>
  <w:style w:type="paragraph" w:styleId="BodyTextIndent3">
    <w:name w:val="Body Text Indent 3"/>
    <w:basedOn w:val="Normal"/>
    <w:rsid w:val="00B61342"/>
    <w:pPr>
      <w:ind w:left="540"/>
    </w:pPr>
  </w:style>
  <w:style w:type="paragraph" w:styleId="BalloonText">
    <w:name w:val="Balloon Text"/>
    <w:basedOn w:val="Normal"/>
    <w:link w:val="BalloonTextChar"/>
    <w:uiPriority w:val="99"/>
    <w:semiHidden/>
    <w:rsid w:val="00E95B20"/>
    <w:rPr>
      <w:rFonts w:ascii="Tahoma" w:hAnsi="Tahoma"/>
      <w:sz w:val="16"/>
      <w:szCs w:val="16"/>
    </w:rPr>
  </w:style>
  <w:style w:type="table" w:styleId="TableGrid">
    <w:name w:val="Table Grid"/>
    <w:basedOn w:val="TableNormal"/>
    <w:rsid w:val="000D0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otnote Text,Footnote,ft,Footnote Text Char2,Footnote Text Char1 Char,Footnote Text Char Char Char1,Footnote Text Char1 Char Char Char1,Footnote Text Char1 Char1 Char"/>
    <w:basedOn w:val="Normal"/>
    <w:link w:val="FootnoteTextChar"/>
    <w:rsid w:val="00F94B90"/>
    <w:rPr>
      <w:sz w:val="20"/>
      <w:szCs w:val="20"/>
    </w:rPr>
  </w:style>
  <w:style w:type="character" w:styleId="FootnoteReference">
    <w:name w:val="footnote reference"/>
    <w:aliases w:val="16 Point,Superscript 6 Point,ftref,Superscript 6 Point + 11 pt,fr"/>
    <w:rsid w:val="00F94B90"/>
    <w:rPr>
      <w:vertAlign w:val="superscript"/>
    </w:rPr>
  </w:style>
  <w:style w:type="character" w:styleId="FollowedHyperlink">
    <w:name w:val="FollowedHyperlink"/>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110321"/>
    <w:pPr>
      <w:numPr>
        <w:numId w:val="2"/>
      </w:numPr>
      <w:spacing w:before="120" w:after="240"/>
      <w:ind w:left="0" w:firstLine="0"/>
      <w:outlineLvl w:val="1"/>
    </w:pPr>
    <w:rPr>
      <w:color w:val="000000"/>
    </w:rPr>
  </w:style>
  <w:style w:type="character" w:customStyle="1" w:styleId="FootnoteTextChar">
    <w:name w:val="Footnote Text Char"/>
    <w:aliases w:val="Geneva 9 Char,Font: Geneva 9 Char,Boston 10 Char,f Char,otnote Text Char,Footnote Char,ft Char,Footnote Text Char2 Char,Footnote Text Char1 Char Char,Footnote Text Char Char Char1 Char,Footnote Text Char1 Char Char Char1 Char"/>
    <w:basedOn w:val="DefaultParagraphFont"/>
    <w:link w:val="FootnoteText"/>
    <w:locked/>
    <w:rsid w:val="00110321"/>
  </w:style>
  <w:style w:type="character" w:customStyle="1" w:styleId="FooterChar">
    <w:name w:val="Footer Char"/>
    <w:link w:val="Footer"/>
    <w:uiPriority w:val="99"/>
    <w:locked/>
    <w:rsid w:val="00110321"/>
    <w:rPr>
      <w:sz w:val="24"/>
      <w:szCs w:val="24"/>
    </w:rPr>
  </w:style>
  <w:style w:type="character" w:customStyle="1" w:styleId="HeaderChar">
    <w:name w:val="Header Char"/>
    <w:link w:val="Header"/>
    <w:uiPriority w:val="99"/>
    <w:locked/>
    <w:rsid w:val="00110321"/>
    <w:rPr>
      <w:sz w:val="24"/>
      <w:szCs w:val="24"/>
    </w:rPr>
  </w:style>
  <w:style w:type="paragraph" w:styleId="TOC1">
    <w:name w:val="toc 1"/>
    <w:basedOn w:val="Normal"/>
    <w:next w:val="Normal"/>
    <w:autoRedefine/>
    <w:uiPriority w:val="99"/>
    <w:rsid w:val="007B5E5B"/>
    <w:pPr>
      <w:tabs>
        <w:tab w:val="right" w:leader="dot" w:pos="9638"/>
      </w:tabs>
      <w:ind w:left="3600"/>
      <w:jc w:val="right"/>
    </w:pPr>
    <w:rPr>
      <w:b/>
      <w:caps/>
      <w:noProof/>
      <w:sz w:val="22"/>
      <w:szCs w:val="22"/>
    </w:rPr>
  </w:style>
  <w:style w:type="paragraph" w:styleId="ListParagraph">
    <w:name w:val="List Paragraph"/>
    <w:basedOn w:val="Normal"/>
    <w:autoRedefine/>
    <w:uiPriority w:val="34"/>
    <w:qFormat/>
    <w:rsid w:val="001D5902"/>
    <w:pPr>
      <w:numPr>
        <w:numId w:val="27"/>
      </w:numPr>
      <w:spacing w:after="200" w:line="276" w:lineRule="auto"/>
      <w:contextualSpacing/>
    </w:pPr>
    <w:rPr>
      <w:sz w:val="22"/>
      <w:szCs w:val="18"/>
      <w:lang w:val="en-GB"/>
    </w:rPr>
  </w:style>
  <w:style w:type="character" w:customStyle="1" w:styleId="MainParanoChapterChar">
    <w:name w:val="Main Para no Chapter # Char"/>
    <w:link w:val="MainParanoChapter"/>
    <w:uiPriority w:val="99"/>
    <w:locked/>
    <w:rsid w:val="00110321"/>
    <w:rPr>
      <w:color w:val="000000"/>
      <w:sz w:val="24"/>
      <w:szCs w:val="24"/>
    </w:rPr>
  </w:style>
  <w:style w:type="paragraph" w:styleId="NoSpacing">
    <w:name w:val="No Spacing"/>
    <w:uiPriority w:val="1"/>
    <w:qFormat/>
    <w:rsid w:val="00110321"/>
    <w:rPr>
      <w:rFonts w:ascii="Calibri" w:hAnsi="Calibri"/>
      <w:sz w:val="22"/>
      <w:szCs w:val="22"/>
    </w:rPr>
  </w:style>
  <w:style w:type="character" w:customStyle="1" w:styleId="Heading2Char">
    <w:name w:val="Heading 2 Char"/>
    <w:link w:val="Heading2"/>
    <w:rsid w:val="00BC78C9"/>
    <w:rPr>
      <w:i/>
      <w:iCs/>
      <w:color w:val="0070C0"/>
      <w:sz w:val="24"/>
      <w:szCs w:val="24"/>
    </w:rPr>
  </w:style>
  <w:style w:type="character" w:styleId="CommentReference">
    <w:name w:val="annotation reference"/>
    <w:rsid w:val="00E7604E"/>
    <w:rPr>
      <w:sz w:val="16"/>
      <w:szCs w:val="16"/>
    </w:rPr>
  </w:style>
  <w:style w:type="paragraph" w:styleId="CommentText">
    <w:name w:val="annotation text"/>
    <w:basedOn w:val="Normal"/>
    <w:link w:val="CommentTextChar"/>
    <w:rsid w:val="00E7604E"/>
    <w:rPr>
      <w:sz w:val="20"/>
      <w:szCs w:val="20"/>
    </w:rPr>
  </w:style>
  <w:style w:type="character" w:customStyle="1" w:styleId="CommentTextChar">
    <w:name w:val="Comment Text Char"/>
    <w:basedOn w:val="DefaultParagraphFont"/>
    <w:link w:val="CommentText"/>
    <w:rsid w:val="00E7604E"/>
  </w:style>
  <w:style w:type="paragraph" w:styleId="CommentSubject">
    <w:name w:val="annotation subject"/>
    <w:basedOn w:val="CommentText"/>
    <w:next w:val="CommentText"/>
    <w:link w:val="CommentSubjectChar"/>
    <w:rsid w:val="00E7604E"/>
    <w:rPr>
      <w:b/>
      <w:bCs/>
    </w:rPr>
  </w:style>
  <w:style w:type="character" w:customStyle="1" w:styleId="CommentSubjectChar">
    <w:name w:val="Comment Subject Char"/>
    <w:link w:val="CommentSubject"/>
    <w:rsid w:val="00E7604E"/>
    <w:rPr>
      <w:b/>
      <w:bCs/>
    </w:rPr>
  </w:style>
  <w:style w:type="character" w:customStyle="1" w:styleId="BalloonTextChar">
    <w:name w:val="Balloon Text Char"/>
    <w:link w:val="BalloonText"/>
    <w:uiPriority w:val="99"/>
    <w:semiHidden/>
    <w:rsid w:val="003729CF"/>
    <w:rPr>
      <w:rFonts w:ascii="Tahoma" w:hAnsi="Tahoma" w:cs="Tahoma"/>
      <w:sz w:val="16"/>
      <w:szCs w:val="16"/>
    </w:rPr>
  </w:style>
  <w:style w:type="paragraph" w:customStyle="1" w:styleId="Body1">
    <w:name w:val="Body 1"/>
    <w:rsid w:val="00476049"/>
    <w:pPr>
      <w:outlineLvl w:val="0"/>
    </w:pPr>
    <w:rPr>
      <w:rFonts w:eastAsia="Arial Unicode MS"/>
      <w:color w:val="000000"/>
      <w:sz w:val="24"/>
      <w:u w:color="000000"/>
      <w:lang w:val="es-PA" w:eastAsia="es-PA"/>
    </w:rPr>
  </w:style>
  <w:style w:type="paragraph" w:styleId="Title">
    <w:name w:val="Title"/>
    <w:basedOn w:val="Normal"/>
    <w:next w:val="Normal"/>
    <w:link w:val="TitleChar"/>
    <w:qFormat/>
    <w:rsid w:val="008521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219D"/>
    <w:rPr>
      <w:rFonts w:asciiTheme="majorHAnsi" w:eastAsiaTheme="majorEastAsia" w:hAnsiTheme="majorHAnsi" w:cstheme="majorBidi"/>
      <w:color w:val="17365D" w:themeColor="text2" w:themeShade="BF"/>
      <w:spacing w:val="5"/>
      <w:kern w:val="28"/>
      <w:sz w:val="52"/>
      <w:szCs w:val="52"/>
    </w:rPr>
  </w:style>
  <w:style w:type="paragraph" w:customStyle="1" w:styleId="NumberedParas0">
    <w:name w:val="Numbered Paras"/>
    <w:basedOn w:val="Normal"/>
    <w:qFormat/>
    <w:rsid w:val="00B131B4"/>
    <w:pPr>
      <w:numPr>
        <w:numId w:val="5"/>
      </w:numPr>
      <w:ind w:left="0" w:firstLine="0"/>
      <w:jc w:val="both"/>
    </w:pPr>
    <w:rPr>
      <w:noProof/>
      <w:szCs w:val="22"/>
    </w:rPr>
  </w:style>
  <w:style w:type="paragraph" w:customStyle="1" w:styleId="Numberedparas">
    <w:name w:val="Numbered paras"/>
    <w:basedOn w:val="Normal"/>
    <w:rsid w:val="004F2633"/>
    <w:pPr>
      <w:numPr>
        <w:numId w:val="9"/>
      </w:numPr>
      <w:jc w:val="both"/>
    </w:pPr>
    <w:rPr>
      <w:rFonts w:eastAsia="Calibri"/>
      <w:sz w:val="22"/>
      <w:szCs w:val="22"/>
    </w:rPr>
  </w:style>
  <w:style w:type="paragraph" w:customStyle="1" w:styleId="StyleBulleted">
    <w:name w:val="Style Bulleted"/>
    <w:basedOn w:val="Normal"/>
    <w:rsid w:val="004F2633"/>
    <w:pPr>
      <w:numPr>
        <w:ilvl w:val="1"/>
        <w:numId w:val="9"/>
      </w:numPr>
      <w:jc w:val="both"/>
    </w:pPr>
    <w:rPr>
      <w:rFonts w:eastAsia="Calibri"/>
      <w:sz w:val="22"/>
      <w:szCs w:val="22"/>
    </w:rPr>
  </w:style>
  <w:style w:type="paragraph" w:styleId="Revision">
    <w:name w:val="Revision"/>
    <w:hidden/>
    <w:uiPriority w:val="99"/>
    <w:semiHidden/>
    <w:rsid w:val="00290241"/>
    <w:pPr>
      <w:ind w:left="0"/>
    </w:pPr>
    <w:rPr>
      <w:sz w:val="24"/>
      <w:szCs w:val="24"/>
    </w:rPr>
  </w:style>
  <w:style w:type="paragraph" w:customStyle="1" w:styleId="BankNormal">
    <w:name w:val="BankNormal"/>
    <w:basedOn w:val="Normal"/>
    <w:rsid w:val="007F53D6"/>
    <w:pPr>
      <w:spacing w:after="240"/>
      <w:ind w:left="0"/>
    </w:pPr>
    <w:rPr>
      <w:szCs w:val="20"/>
    </w:rPr>
  </w:style>
  <w:style w:type="paragraph" w:customStyle="1" w:styleId="Aa">
    <w:name w:val="Aa"/>
    <w:basedOn w:val="Normal"/>
    <w:rsid w:val="00405E10"/>
    <w:pPr>
      <w:tabs>
        <w:tab w:val="num" w:pos="720"/>
      </w:tabs>
      <w:suppressAutoHyphens/>
      <w:spacing w:after="120"/>
      <w:ind w:left="0"/>
    </w:pPr>
    <w:rPr>
      <w:sz w:val="22"/>
      <w:szCs w:val="22"/>
      <w:lang w:eastAsia="ar-SA"/>
    </w:rPr>
  </w:style>
  <w:style w:type="paragraph" w:customStyle="1" w:styleId="aaa">
    <w:name w:val="aaa"/>
    <w:basedOn w:val="Normal"/>
    <w:uiPriority w:val="99"/>
    <w:rsid w:val="00854A01"/>
    <w:pPr>
      <w:spacing w:before="80"/>
      <w:ind w:left="0"/>
    </w:pPr>
    <w:rPr>
      <w:i/>
      <w:sz w:val="21"/>
      <w:szCs w:val="21"/>
    </w:rPr>
  </w:style>
  <w:style w:type="paragraph" w:customStyle="1" w:styleId="NumberedParasinaPIF">
    <w:name w:val="Numbered Paras in a PIF"/>
    <w:basedOn w:val="Normal"/>
    <w:link w:val="NumberedParasinaPIFChar"/>
    <w:uiPriority w:val="99"/>
    <w:rsid w:val="003B6D33"/>
    <w:pPr>
      <w:ind w:left="0"/>
      <w:jc w:val="both"/>
    </w:pPr>
    <w:rPr>
      <w:rFonts w:eastAsia="Calibri"/>
      <w:noProof/>
      <w:sz w:val="20"/>
      <w:szCs w:val="22"/>
    </w:rPr>
  </w:style>
  <w:style w:type="character" w:customStyle="1" w:styleId="NumberedParasinaPIFChar">
    <w:name w:val="Numbered Paras in a PIF Char"/>
    <w:basedOn w:val="DefaultParagraphFont"/>
    <w:link w:val="NumberedParasinaPIF"/>
    <w:uiPriority w:val="99"/>
    <w:locked/>
    <w:rsid w:val="003B6D33"/>
    <w:rPr>
      <w:rFonts w:eastAsia="Calibri"/>
      <w:noProof/>
      <w:szCs w:val="22"/>
    </w:rPr>
  </w:style>
  <w:style w:type="paragraph" w:customStyle="1" w:styleId="para">
    <w:name w:val="para"/>
    <w:basedOn w:val="Normal"/>
    <w:rsid w:val="0021399B"/>
    <w:pPr>
      <w:spacing w:after="240"/>
      <w:ind w:left="0"/>
      <w:jc w:val="both"/>
    </w:pPr>
    <w:rPr>
      <w:rFonts w:eastAsiaTheme="minorHAnsi"/>
      <w:lang w:val="es-PA"/>
    </w:rPr>
  </w:style>
  <w:style w:type="table" w:customStyle="1" w:styleId="TableGrid1">
    <w:name w:val="Table Grid1"/>
    <w:basedOn w:val="TableNormal"/>
    <w:next w:val="TableGrid"/>
    <w:rsid w:val="00D43F7C"/>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3754"/>
    <w:pPr>
      <w:spacing w:before="100" w:beforeAutospacing="1" w:after="100" w:afterAutospacing="1"/>
      <w:ind w:left="0"/>
    </w:pPr>
    <w:rPr>
      <w:rFonts w:eastAsiaTheme="minorHAnsi"/>
    </w:rPr>
  </w:style>
  <w:style w:type="paragraph" w:styleId="EndnoteText">
    <w:name w:val="endnote text"/>
    <w:basedOn w:val="Normal"/>
    <w:link w:val="EndnoteTextChar"/>
    <w:rsid w:val="008103AA"/>
    <w:rPr>
      <w:sz w:val="20"/>
      <w:szCs w:val="20"/>
    </w:rPr>
  </w:style>
  <w:style w:type="character" w:customStyle="1" w:styleId="EndnoteTextChar">
    <w:name w:val="Endnote Text Char"/>
    <w:basedOn w:val="DefaultParagraphFont"/>
    <w:link w:val="EndnoteText"/>
    <w:rsid w:val="008103AA"/>
  </w:style>
  <w:style w:type="character" w:styleId="EndnoteReference">
    <w:name w:val="endnote reference"/>
    <w:basedOn w:val="DefaultParagraphFont"/>
    <w:rsid w:val="008103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5599">
      <w:bodyDiv w:val="1"/>
      <w:marLeft w:val="0"/>
      <w:marRight w:val="0"/>
      <w:marTop w:val="0"/>
      <w:marBottom w:val="0"/>
      <w:divBdr>
        <w:top w:val="none" w:sz="0" w:space="0" w:color="auto"/>
        <w:left w:val="none" w:sz="0" w:space="0" w:color="auto"/>
        <w:bottom w:val="none" w:sz="0" w:space="0" w:color="auto"/>
        <w:right w:val="none" w:sz="0" w:space="0" w:color="auto"/>
      </w:divBdr>
    </w:div>
    <w:div w:id="65616780">
      <w:bodyDiv w:val="1"/>
      <w:marLeft w:val="0"/>
      <w:marRight w:val="0"/>
      <w:marTop w:val="0"/>
      <w:marBottom w:val="0"/>
      <w:divBdr>
        <w:top w:val="none" w:sz="0" w:space="0" w:color="auto"/>
        <w:left w:val="none" w:sz="0" w:space="0" w:color="auto"/>
        <w:bottom w:val="none" w:sz="0" w:space="0" w:color="auto"/>
        <w:right w:val="none" w:sz="0" w:space="0" w:color="auto"/>
      </w:divBdr>
    </w:div>
    <w:div w:id="284392245">
      <w:bodyDiv w:val="1"/>
      <w:marLeft w:val="0"/>
      <w:marRight w:val="0"/>
      <w:marTop w:val="0"/>
      <w:marBottom w:val="0"/>
      <w:divBdr>
        <w:top w:val="none" w:sz="0" w:space="0" w:color="auto"/>
        <w:left w:val="none" w:sz="0" w:space="0" w:color="auto"/>
        <w:bottom w:val="none" w:sz="0" w:space="0" w:color="auto"/>
        <w:right w:val="none" w:sz="0" w:space="0" w:color="auto"/>
      </w:divBdr>
    </w:div>
    <w:div w:id="979307289">
      <w:bodyDiv w:val="1"/>
      <w:marLeft w:val="0"/>
      <w:marRight w:val="0"/>
      <w:marTop w:val="0"/>
      <w:marBottom w:val="0"/>
      <w:divBdr>
        <w:top w:val="none" w:sz="0" w:space="0" w:color="auto"/>
        <w:left w:val="none" w:sz="0" w:space="0" w:color="auto"/>
        <w:bottom w:val="none" w:sz="0" w:space="0" w:color="auto"/>
        <w:right w:val="none" w:sz="0" w:space="0" w:color="auto"/>
      </w:divBdr>
    </w:div>
    <w:div w:id="999426185">
      <w:bodyDiv w:val="1"/>
      <w:marLeft w:val="0"/>
      <w:marRight w:val="0"/>
      <w:marTop w:val="0"/>
      <w:marBottom w:val="0"/>
      <w:divBdr>
        <w:top w:val="none" w:sz="0" w:space="0" w:color="auto"/>
        <w:left w:val="none" w:sz="0" w:space="0" w:color="auto"/>
        <w:bottom w:val="none" w:sz="0" w:space="0" w:color="auto"/>
        <w:right w:val="none" w:sz="0" w:space="0" w:color="auto"/>
      </w:divBdr>
    </w:div>
    <w:div w:id="1069309871">
      <w:bodyDiv w:val="1"/>
      <w:marLeft w:val="0"/>
      <w:marRight w:val="0"/>
      <w:marTop w:val="0"/>
      <w:marBottom w:val="0"/>
      <w:divBdr>
        <w:top w:val="none" w:sz="0" w:space="0" w:color="auto"/>
        <w:left w:val="none" w:sz="0" w:space="0" w:color="auto"/>
        <w:bottom w:val="none" w:sz="0" w:space="0" w:color="auto"/>
        <w:right w:val="none" w:sz="0" w:space="0" w:color="auto"/>
      </w:divBdr>
    </w:div>
    <w:div w:id="1078675503">
      <w:bodyDiv w:val="1"/>
      <w:marLeft w:val="0"/>
      <w:marRight w:val="0"/>
      <w:marTop w:val="0"/>
      <w:marBottom w:val="0"/>
      <w:divBdr>
        <w:top w:val="none" w:sz="0" w:space="0" w:color="auto"/>
        <w:left w:val="none" w:sz="0" w:space="0" w:color="auto"/>
        <w:bottom w:val="none" w:sz="0" w:space="0" w:color="auto"/>
        <w:right w:val="none" w:sz="0" w:space="0" w:color="auto"/>
      </w:divBdr>
    </w:div>
    <w:div w:id="1476676173">
      <w:bodyDiv w:val="1"/>
      <w:marLeft w:val="0"/>
      <w:marRight w:val="0"/>
      <w:marTop w:val="0"/>
      <w:marBottom w:val="0"/>
      <w:divBdr>
        <w:top w:val="none" w:sz="0" w:space="0" w:color="auto"/>
        <w:left w:val="none" w:sz="0" w:space="0" w:color="auto"/>
        <w:bottom w:val="none" w:sz="0" w:space="0" w:color="auto"/>
        <w:right w:val="none" w:sz="0" w:space="0" w:color="auto"/>
      </w:divBdr>
    </w:div>
    <w:div w:id="1583178744">
      <w:bodyDiv w:val="1"/>
      <w:marLeft w:val="0"/>
      <w:marRight w:val="0"/>
      <w:marTop w:val="0"/>
      <w:marBottom w:val="0"/>
      <w:divBdr>
        <w:top w:val="none" w:sz="0" w:space="0" w:color="auto"/>
        <w:left w:val="none" w:sz="0" w:space="0" w:color="auto"/>
        <w:bottom w:val="none" w:sz="0" w:space="0" w:color="auto"/>
        <w:right w:val="none" w:sz="0" w:space="0" w:color="auto"/>
      </w:divBdr>
    </w:div>
    <w:div w:id="1824154921">
      <w:bodyDiv w:val="1"/>
      <w:marLeft w:val="0"/>
      <w:marRight w:val="0"/>
      <w:marTop w:val="0"/>
      <w:marBottom w:val="0"/>
      <w:divBdr>
        <w:top w:val="none" w:sz="0" w:space="0" w:color="auto"/>
        <w:left w:val="none" w:sz="0" w:space="0" w:color="auto"/>
        <w:bottom w:val="none" w:sz="0" w:space="0" w:color="auto"/>
        <w:right w:val="none" w:sz="0" w:space="0" w:color="auto"/>
      </w:divBdr>
    </w:div>
    <w:div w:id="2008484380">
      <w:bodyDiv w:val="1"/>
      <w:marLeft w:val="0"/>
      <w:marRight w:val="0"/>
      <w:marTop w:val="0"/>
      <w:marBottom w:val="0"/>
      <w:divBdr>
        <w:top w:val="none" w:sz="0" w:space="0" w:color="auto"/>
        <w:left w:val="none" w:sz="0" w:space="0" w:color="auto"/>
        <w:bottom w:val="none" w:sz="0" w:space="0" w:color="auto"/>
        <w:right w:val="none" w:sz="0" w:space="0" w:color="auto"/>
      </w:divBdr>
    </w:div>
    <w:div w:id="2011986963">
      <w:bodyDiv w:val="1"/>
      <w:marLeft w:val="0"/>
      <w:marRight w:val="0"/>
      <w:marTop w:val="0"/>
      <w:marBottom w:val="0"/>
      <w:divBdr>
        <w:top w:val="none" w:sz="0" w:space="0" w:color="auto"/>
        <w:left w:val="none" w:sz="0" w:space="0" w:color="auto"/>
        <w:bottom w:val="none" w:sz="0" w:space="0" w:color="auto"/>
        <w:right w:val="none" w:sz="0" w:space="0" w:color="auto"/>
      </w:divBdr>
    </w:div>
    <w:div w:id="208236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thegef.org/gef/sites/thegef.org/files/documents/OFP%20Endorsement%20Letter%20Template%20for%20SGP%2009-08-2010.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ef.org/gef/sites/thegef.org/files/documents/OFP%20Endorsement%20Letter%20Template%2011-1-11_0.doc" TargetMode="External"/><Relationship Id="rId24"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ustomXml" Target="../customXml/item5.xml"/><Relationship Id="rId10" Type="http://schemas.openxmlformats.org/officeDocument/2006/relationships/hyperlink" Target="http://gefweb.org/Documents/Council_Documents/GEF_C21/C.20.6.Rev.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gef.org/gef/sites/thegef.org/files/documents/document/GEF5-Template%20Reference%20Guide%209-14-10rev11-18-2010.doc" TargetMode="External"/><Relationship Id="rId14" Type="http://schemas.openxmlformats.org/officeDocument/2006/relationships/hyperlink" Target="mailto:yves.desoye@undp.org" TargetMode="Externa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G:\0%20Guinea%20Bissau\GEF5%20FSP-MSP-EA%20PIF%20with%20PPG%20Template%20Dec12_UNPROTEC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GNB</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Conservation and sustainable use of biodiversity</TermName>
          <TermId xmlns="http://schemas.microsoft.com/office/infopath/2007/PartnerControls">4c344357-9212-4471-9d62-07c8dcbfce93</TermId>
        </TermInfo>
        <TermInfo xmlns="http://schemas.microsoft.com/office/infopath/2007/PartnerControls">
          <TermName xmlns="http://schemas.microsoft.com/office/infopath/2007/PartnerControls">National Strategies for Sustainable Development</TermName>
          <TermId xmlns="http://schemas.microsoft.com/office/infopath/2007/PartnerControls">5e296915-bb66-44da-bfa4-ffa9e2c77b9b</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GNB</TermName>
          <TermId xmlns="http://schemas.microsoft.com/office/infopath/2007/PartnerControls">8fc063af-fe7c-47f7-a53d-80f6a92f67d1</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00086873</Outcome1>
    <UNDPCountryTaxHTField0 xmlns="1ed4137b-41b2-488b-8250-6d369ec27664">
      <Terms xmlns="http://schemas.microsoft.com/office/infopath/2007/PartnerControls">
        <TermInfo xmlns="http://schemas.microsoft.com/office/infopath/2007/PartnerControls">
          <TermName xmlns="http://schemas.microsoft.com/office/infopath/2007/PartnerControls">Guinea-Bissau</TermName>
          <TermId xmlns="http://schemas.microsoft.com/office/infopath/2007/PartnerControls">17fc2c85-e4ca-4bda-a7c0-4a70203f9baf</TermId>
        </TermInfo>
        <TermInfo xmlns="http://schemas.microsoft.com/office/infopath/2007/PartnerControls">
          <TermName xmlns="http://schemas.microsoft.com/office/infopath/2007/PartnerControls">Guinea-Bissau</TermName>
          <TermId xmlns="http://schemas.microsoft.com/office/infopath/2007/PartnerControls">6ed66714-5f73-4321-80c1-8b6cb7f1cb12</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ATLASPDC-4-40256</_dlc_DocId>
    <TaxCatchAll xmlns="1ed4137b-41b2-488b-8250-6d369ec27664">
      <Value>1138</Value>
      <Value>763</Value>
      <Value>1100</Value>
      <Value>349</Value>
      <Value>447</Value>
      <Value>1296</Value>
      <Value>1110</Value>
      <Value>1</Value>
    </TaxCatchAll>
    <_Publisher xmlns="http://schemas.microsoft.com/sharepoint/v3/fields" xsi:nil="true"/>
    <UndpDocStatus xmlns="1ed4137b-41b2-488b-8250-6d369ec27664">Approved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2015-09-30T11:00:00+00:00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00074477</UndpProjectNo>
    <_dlc_DocIdUrl xmlns="f1161f5b-24a3-4c2d-bc81-44cb9325e8ee">
      <Url>https://info.undp.org/docs/pdc/_layouts/DocIdRedir.aspx?ID=ATLASPDC-4-40256</Url>
      <Description>ATLASPDC-4-40256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5C4DEC-EB6A-4167-8F77-2F43768E5278}"/>
</file>

<file path=customXml/itemProps2.xml><?xml version="1.0" encoding="utf-8"?>
<ds:datastoreItem xmlns:ds="http://schemas.openxmlformats.org/officeDocument/2006/customXml" ds:itemID="{9D802133-8B5B-4E48-AFE6-C71DC4CF2592}"/>
</file>

<file path=customXml/itemProps3.xml><?xml version="1.0" encoding="utf-8"?>
<ds:datastoreItem xmlns:ds="http://schemas.openxmlformats.org/officeDocument/2006/customXml" ds:itemID="{82E63F89-25A3-4AA4-8FC1-C1C822DEB300}"/>
</file>

<file path=customXml/itemProps4.xml><?xml version="1.0" encoding="utf-8"?>
<ds:datastoreItem xmlns:ds="http://schemas.openxmlformats.org/officeDocument/2006/customXml" ds:itemID="{6E542A22-4B94-46C8-8813-18D32D1D774F}"/>
</file>

<file path=customXml/itemProps5.xml><?xml version="1.0" encoding="utf-8"?>
<ds:datastoreItem xmlns:ds="http://schemas.openxmlformats.org/officeDocument/2006/customXml" ds:itemID="{44E6148A-5EDA-4D9F-B4DF-AB295487CFC7}"/>
</file>

<file path=customXml/itemProps6.xml><?xml version="1.0" encoding="utf-8"?>
<ds:datastoreItem xmlns:ds="http://schemas.openxmlformats.org/officeDocument/2006/customXml" ds:itemID="{5AC78613-3265-447F-B572-645498B84753}"/>
</file>

<file path=docProps/app.xml><?xml version="1.0" encoding="utf-8"?>
<Properties xmlns="http://schemas.openxmlformats.org/officeDocument/2006/extended-properties" xmlns:vt="http://schemas.openxmlformats.org/officeDocument/2006/docPropsVTypes">
  <Template>GEF5 FSP-MSP-EA PIF with PPG Template Dec12_UNPROTECTED</Template>
  <TotalTime>4</TotalTime>
  <Pages>18</Pages>
  <Words>11883</Words>
  <Characters>65360</Characters>
  <Application>Microsoft Office Word</Application>
  <DocSecurity>0</DocSecurity>
  <Lines>544</Lines>
  <Paragraphs>154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FINANCING PLAN (IN US$):</vt:lpstr>
      <vt:lpstr>FINANCING PLAN (IN US$):</vt:lpstr>
    </vt:vector>
  </TitlesOfParts>
  <Company>Microsoft</Company>
  <LinksUpToDate>false</LinksUpToDate>
  <CharactersWithSpaces>77089</CharactersWithSpaces>
  <SharedDoc>false</SharedDoc>
  <HLinks>
    <vt:vector size="30" baseType="variant">
      <vt:variant>
        <vt:i4>917593</vt:i4>
      </vt:variant>
      <vt:variant>
        <vt:i4>33</vt:i4>
      </vt:variant>
      <vt:variant>
        <vt:i4>0</vt:i4>
      </vt:variant>
      <vt:variant>
        <vt:i4>5</vt:i4>
      </vt:variant>
      <vt:variant>
        <vt:lpwstr>http://www.thegef.org/gef/sites/thegef.org/files/documents/OFP Endorsement Letter Template for SGP 09-08-2010.doc</vt:lpwstr>
      </vt:variant>
      <vt:variant>
        <vt:lpwstr/>
      </vt:variant>
      <vt:variant>
        <vt:i4>4784190</vt:i4>
      </vt:variant>
      <vt:variant>
        <vt:i4>30</vt:i4>
      </vt:variant>
      <vt:variant>
        <vt:i4>0</vt:i4>
      </vt:variant>
      <vt:variant>
        <vt:i4>5</vt:i4>
      </vt:variant>
      <vt:variant>
        <vt:lpwstr>http://www.thegef.org/gef/sites/thegef.org/files/documents/OFP Endorsement Letter Template 11-1-11_0.doc</vt:lpwstr>
      </vt:variant>
      <vt:variant>
        <vt:lpwstr/>
      </vt:variant>
      <vt:variant>
        <vt:i4>2556011</vt:i4>
      </vt:variant>
      <vt:variant>
        <vt:i4>7</vt:i4>
      </vt:variant>
      <vt:variant>
        <vt:i4>0</vt:i4>
      </vt:variant>
      <vt:variant>
        <vt:i4>5</vt:i4>
      </vt:variant>
      <vt:variant>
        <vt:lpwstr>http://gefweb.org/Documents/Council_Documents/GEF_C21/C.20.6.Rev.1.pdf</vt:lpwstr>
      </vt:variant>
      <vt:variant>
        <vt:lpwstr/>
      </vt:variant>
      <vt:variant>
        <vt:i4>6357090</vt:i4>
      </vt:variant>
      <vt:variant>
        <vt:i4>4</vt:i4>
      </vt:variant>
      <vt:variant>
        <vt:i4>0</vt:i4>
      </vt:variant>
      <vt:variant>
        <vt:i4>5</vt:i4>
      </vt:variant>
      <vt:variant>
        <vt:lpwstr>http://www.thegef.org/gef/sites/thegef.org/files/documents/document/GEF5-Template Reference Guide 9-14-10rev11-18-2010.doc</vt:lpwstr>
      </vt:variant>
      <vt:variant>
        <vt:lpwstr/>
      </vt:variant>
      <vt:variant>
        <vt:i4>6357090</vt:i4>
      </vt:variant>
      <vt:variant>
        <vt:i4>0</vt:i4>
      </vt:variant>
      <vt:variant>
        <vt:i4>0</vt:i4>
      </vt:variant>
      <vt:variant>
        <vt:i4>5</vt:i4>
      </vt:variant>
      <vt:variant>
        <vt:lpwstr>http://www.thegef.org/gef/sites/thegef.org/files/documents/document/GEF5-Template Reference Guide 9-14-10rev11-18-2010.doc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PLAN (IN US$):</dc:title>
  <dc:subject/>
  <dc:creator>GHMM</dc:creator>
  <cp:lastModifiedBy>Dauda Sau</cp:lastModifiedBy>
  <cp:revision>3</cp:revision>
  <cp:lastPrinted>2013-03-27T13:15:00Z</cp:lastPrinted>
  <dcterms:created xsi:type="dcterms:W3CDTF">2013-04-29T11:37:00Z</dcterms:created>
  <dcterms:modified xsi:type="dcterms:W3CDTF">2015-09-30T09:29:00Z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210833878</vt:i4>
  </property>
  <property fmtid="{D5CDD505-2E9C-101B-9397-08002B2CF9AE}" pid="3" name="Atlas_x0020_Document_x0020_Type">
    <vt:lpwstr>228;#Prodoc|5f41516e-5ee3-43b6-82ea-9b89532838d0</vt:lpwstr>
  </property>
  <property fmtid="{D5CDD505-2E9C-101B-9397-08002B2CF9AE}" pid="4" name="UNDPCountry">
    <vt:lpwstr>1296;#Guinea-Bissau|17fc2c85-e4ca-4bda-a7c0-4a70203f9baf;#1138;#Guinea-Bissau|6ed66714-5f73-4321-80c1-8b6cb7f1cb12</vt:lpwstr>
  </property>
  <property fmtid="{D5CDD505-2E9C-101B-9397-08002B2CF9AE}" pid="5" name="UNDPDocumentCategory">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1100;#GNB|8fc063af-fe7c-47f7-a53d-80f6a92f67d1</vt:lpwstr>
  </property>
  <property fmtid="{D5CDD505-2E9C-101B-9397-08002B2CF9AE}" pid="10" name="Atlas Document Status">
    <vt:lpwstr>763;#Draft|121d40a5-e62e-4d42-82e4-d6d12003de0a</vt:lpwstr>
  </property>
  <property fmtid="{D5CDD505-2E9C-101B-9397-08002B2CF9AE}" pid="11" name="_dlc_DocIdItemGuid">
    <vt:lpwstr>b2e81947-6272-426a-94de-f83ad9f1923f</vt:lpwstr>
  </property>
  <property fmtid="{D5CDD505-2E9C-101B-9397-08002B2CF9AE}" pid="12" name="Atlas Document Type">
    <vt:lpwstr>1110;#Prodoc|099f975e-b4d9-4bba-a499-dbcc387c61ad</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349;#Conservation and sustainable use of biodiversity|4c344357-9212-4471-9d62-07c8dcbfce93;#447;#National Strategies for Sustainable Development|5e296915-bb66-44da-bfa4-ffa9e2c77b9b</vt:lpwstr>
  </property>
  <property fmtid="{D5CDD505-2E9C-101B-9397-08002B2CF9AE}" pid="17" name="UndpDocTypeMM">
    <vt:lpwstr/>
  </property>
  <property fmtid="{D5CDD505-2E9C-101B-9397-08002B2CF9AE}" pid="18" name="URL">
    <vt:lpwstr/>
  </property>
  <property fmtid="{D5CDD505-2E9C-101B-9397-08002B2CF9AE}" pid="19" name="DocumentSetDescription">
    <vt:lpwstr/>
  </property>
</Properties>
</file>